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CB3C" w14:textId="77777777" w:rsidR="00AF161A" w:rsidRDefault="00000000">
      <w:pPr>
        <w:pStyle w:val="Heading1"/>
        <w:spacing w:after="200"/>
      </w:pPr>
      <w:r>
        <w:t>ANTI-BULLYING AND HARASSMENT POLICY</w:t>
      </w:r>
    </w:p>
    <w:p w14:paraId="0C5CA254" w14:textId="77777777" w:rsidR="00AF161A" w:rsidRDefault="00000000">
      <w:pPr>
        <w:pStyle w:val="Heading2"/>
        <w:spacing w:before="240" w:after="120"/>
      </w:pPr>
      <w:r>
        <w:t>Purpose</w:t>
      </w:r>
    </w:p>
    <w:p w14:paraId="58CC28B6" w14:textId="77777777" w:rsidR="00AF161A" w:rsidRDefault="00000000">
      <w:pPr>
        <w:spacing w:after="120"/>
      </w:pPr>
      <w:r>
        <w:t>At A M Water Services Ltd, we're committed to maintaining a workplace where everyone is treated with dignity and respect. As a family-run business built on our "#TEAM" values, we have zero tolerance for bullying and harassment in any form, ensuring all team members can work in an environment free from intimidation, victimisation and discrimination.</w:t>
      </w:r>
    </w:p>
    <w:p w14:paraId="2B42B0CD" w14:textId="77777777" w:rsidR="00AF161A" w:rsidRDefault="00000000">
      <w:pPr>
        <w:pStyle w:val="Heading2"/>
        <w:spacing w:before="240" w:after="120"/>
      </w:pPr>
      <w:r>
        <w:t>Scope</w:t>
      </w:r>
    </w:p>
    <w:p w14:paraId="3885646B" w14:textId="77777777" w:rsidR="00AF161A" w:rsidRDefault="00000000">
      <w:pPr>
        <w:spacing w:after="120"/>
      </w:pPr>
      <w:r>
        <w:t>This policy applies to all employees, contractors, subcontractors and visitors across all our operations including water main installations, grab services, office work and site activities.</w:t>
      </w:r>
    </w:p>
    <w:p w14:paraId="706A1C55" w14:textId="77777777" w:rsidR="00AF161A" w:rsidRDefault="00000000">
      <w:pPr>
        <w:pStyle w:val="Heading2"/>
        <w:spacing w:before="240" w:after="120"/>
      </w:pPr>
      <w:r>
        <w:t>Legal Framework</w:t>
      </w:r>
    </w:p>
    <w:p w14:paraId="31CDE350" w14:textId="77777777" w:rsidR="00AF161A" w:rsidRDefault="00000000">
      <w:pPr>
        <w:spacing w:after="120"/>
      </w:pPr>
      <w:r>
        <w:t>We comply with the Equality Act 2010, Health and Safety at Work Act 1974, and Protection from Harassment Act 1997.</w:t>
      </w:r>
    </w:p>
    <w:p w14:paraId="42964642" w14:textId="77777777" w:rsidR="00AF161A" w:rsidRDefault="00000000">
      <w:pPr>
        <w:pStyle w:val="Heading2"/>
        <w:spacing w:before="240" w:after="120"/>
      </w:pPr>
      <w:r>
        <w:t>Our Commitment</w:t>
      </w:r>
    </w:p>
    <w:p w14:paraId="1A1235C9" w14:textId="77777777" w:rsidR="00AF161A" w:rsidRDefault="00000000">
      <w:pPr>
        <w:spacing w:after="120"/>
      </w:pPr>
      <w:r>
        <w:t>We recognise that bullying and harassment can take many forms, from obvious physical intimidation to subtle psychological pressure. This includes offensive or malicious behaviour, abuse of power, spreading rumours, exclusion, unfair treatment, unwelcome advances, or any conduct that undermines someone's dignity. Whether it happens face-to-face, through emails, on social media, or during work events, we take all reports seriously. What matters is how the behaviour affects the person receiving it, not the intent behind it, and even a single serious incident can constitute bullying if it's sufficiently offensive or intimidating.</w:t>
      </w:r>
    </w:p>
    <w:p w14:paraId="47A61166" w14:textId="77777777" w:rsidR="00AF161A" w:rsidRDefault="00000000">
      <w:pPr>
        <w:spacing w:after="120"/>
      </w:pPr>
      <w:r>
        <w:t xml:space="preserve">In our water services and grab operations, we understand the </w:t>
      </w:r>
      <w:proofErr w:type="gramStart"/>
      <w:r>
        <w:t>particular pressures</w:t>
      </w:r>
      <w:proofErr w:type="gramEnd"/>
      <w:r>
        <w:t xml:space="preserve"> of construction site environments, tight deadlines, and customer demands. However, these pressures never excuse inappropriate behaviour. We expect professional conduct whether you're chlorinating water mains, operating grab lorries, dealing with utility companies, or working in the office. This means treating everyone with respect, from new apprentices learning the trade to experienced operators who've been with us for years. It also extends to how we interact with clients, suppliers, and members of the public at sites across the region.</w:t>
      </w:r>
    </w:p>
    <w:p w14:paraId="48F6446E" w14:textId="77777777" w:rsidR="00AF161A" w:rsidRDefault="00000000">
      <w:pPr>
        <w:spacing w:after="120"/>
      </w:pPr>
      <w:r>
        <w:t>Management leads by example in creating a positive culture where people feel valued and supported. Site supervisors ensure respectful behaviour during all operations, addressing any issues immediately before they escalate. They understand the difference between firm supervision to maintain safety standards and behaviour that crosses into bullying. All employees have the right to raise concerns without fear of retaliation, and we provide multiple reporting routes including direct discussion with supervisors, formal complaints to senior management, or confidential reporting through our grievance procedure. We protect anyone who reports concerns in good faith, and confidentiality is maintained throughout any investigation process.</w:t>
      </w:r>
    </w:p>
    <w:p w14:paraId="2AAC09A7" w14:textId="77777777" w:rsidR="00AF161A" w:rsidRDefault="00000000">
      <w:pPr>
        <w:spacing w:after="120"/>
      </w:pPr>
      <w:r>
        <w:t xml:space="preserve">When issues arise, we act promptly and fairly. For minor incidents, informal resolution through discussion or mediation often works best. For serious matters, we conduct thorough investigations, take statements from all parties, and implement appropriate actions ranging from training and counselling to disciplinary measures including dismissal for gross misconduct. We also provide support to anyone affected by bullying or harassment, recognising the serious impact it can have on mental health, work performance, and home </w:t>
      </w:r>
      <w:r>
        <w:lastRenderedPageBreak/>
        <w:t>life. External support is available through ACAS, mental health charities, and our employee assistance programme where applicable.</w:t>
      </w:r>
    </w:p>
    <w:p w14:paraId="24FB0F68" w14:textId="77777777" w:rsidR="00AF161A" w:rsidRDefault="00000000">
      <w:pPr>
        <w:pStyle w:val="Heading2"/>
        <w:spacing w:before="240" w:after="120"/>
      </w:pPr>
      <w:r>
        <w:t>Prevention and Training</w:t>
      </w:r>
    </w:p>
    <w:p w14:paraId="4E8AC40D" w14:textId="77777777" w:rsidR="00AF161A" w:rsidRDefault="00000000">
      <w:pPr>
        <w:spacing w:after="120"/>
      </w:pPr>
      <w:r>
        <w:t>We prevent problems through regular training, clear communication of standards, and maintaining an open culture where concerns can be raised early. During inductions, toolbox talks, and team meetings, we reinforce these expectations and discuss real scenarios relevant to our industry. We monitor our workplace culture through feedback, exit interviews, and regular reviews of any incidents or concerns raised.</w:t>
      </w:r>
    </w:p>
    <w:p w14:paraId="3C8FF433" w14:textId="77777777" w:rsidR="00AF161A" w:rsidRDefault="00000000">
      <w:pPr>
        <w:pStyle w:val="Heading2"/>
        <w:spacing w:before="240" w:after="120"/>
      </w:pPr>
      <w:r>
        <w:t>Review</w:t>
      </w:r>
    </w:p>
    <w:p w14:paraId="79981B52" w14:textId="77777777" w:rsidR="00AF161A" w:rsidRDefault="00000000">
      <w:pPr>
        <w:spacing w:after="120"/>
      </w:pPr>
      <w:r>
        <w:t>This policy is reviewed annually and updated following any incidents, legal changes, or operational developments to ensure it remains effective and relevant.</w:t>
      </w:r>
    </w:p>
    <w:p w14:paraId="5B5D0DFA" w14:textId="77777777" w:rsidR="00AF161A" w:rsidRDefault="00AF161A">
      <w:pPr>
        <w:spacing w:before="240"/>
      </w:pPr>
    </w:p>
    <w:p w14:paraId="1BEE0CF5" w14:textId="77777777" w:rsidR="00AF161A" w:rsidRDefault="00000000">
      <w:pPr>
        <w:spacing w:after="120"/>
      </w:pPr>
      <w:r>
        <w:rPr>
          <w:b/>
          <w:bCs/>
        </w:rPr>
        <w:t>Signed:</w:t>
      </w:r>
    </w:p>
    <w:p w14:paraId="1673E461" w14:textId="77777777" w:rsidR="00AF161A" w:rsidRDefault="00000000">
      <w:pPr>
        <w:spacing w:after="40"/>
      </w:pPr>
      <w:r>
        <w:rPr>
          <w:b/>
          <w:bCs/>
        </w:rPr>
        <w:t>Aaron Mason</w:t>
      </w:r>
    </w:p>
    <w:p w14:paraId="770D1AC0" w14:textId="77777777" w:rsidR="00AF161A" w:rsidRDefault="00000000">
      <w:pPr>
        <w:spacing w:after="40"/>
      </w:pPr>
      <w:r>
        <w:t>Director</w:t>
      </w:r>
    </w:p>
    <w:p w14:paraId="4CC83CD2" w14:textId="77777777" w:rsidR="00AF161A" w:rsidRDefault="00000000">
      <w:pPr>
        <w:spacing w:after="40"/>
      </w:pPr>
      <w:r>
        <w:t>A M Water Services Ltd</w:t>
      </w:r>
    </w:p>
    <w:p w14:paraId="38D234E8" w14:textId="5B41DA46" w:rsidR="00286DF0" w:rsidRDefault="00000000" w:rsidP="00286DF0">
      <w:r>
        <w:t>1st July 2025</w:t>
      </w:r>
    </w:p>
    <w:p w14:paraId="65A3D7F5" w14:textId="3EFB7932" w:rsidR="00AF161A" w:rsidRDefault="00AF161A"/>
    <w:sectPr w:rsidR="00AF161A">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15463" w14:textId="77777777" w:rsidR="00371EBE" w:rsidRDefault="00371EBE" w:rsidP="00286DF0">
      <w:r>
        <w:separator/>
      </w:r>
    </w:p>
  </w:endnote>
  <w:endnote w:type="continuationSeparator" w:id="0">
    <w:p w14:paraId="686F7FFC" w14:textId="77777777" w:rsidR="00371EBE" w:rsidRDefault="00371EBE" w:rsidP="0028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5" w:name="_Hlk219903185" w:displacedByCustomXml="next"/>
  <w:bookmarkStart w:id="16" w:name="OLE_LINK28" w:displacedByCustomXml="next"/>
  <w:bookmarkStart w:id="17" w:name="OLE_LINK27" w:displacedByCustomXml="next"/>
  <w:bookmarkStart w:id="18" w:name="_Hlk219903139" w:displacedByCustomXml="next"/>
  <w:bookmarkStart w:id="19" w:name="OLE_LINK24" w:displacedByCustomXml="next"/>
  <w:bookmarkStart w:id="20" w:name="OLE_LINK23" w:displacedByCustomXml="next"/>
  <w:bookmarkStart w:id="21" w:name="_Hlk219903062" w:displacedByCustomXml="next"/>
  <w:bookmarkStart w:id="22" w:name="OLE_LINK20" w:displacedByCustomXml="next"/>
  <w:bookmarkStart w:id="23" w:name="OLE_LINK19" w:displacedByCustomXml="next"/>
  <w:bookmarkStart w:id="24" w:name="_Hlk219903009" w:displacedByCustomXml="next"/>
  <w:bookmarkStart w:id="25" w:name="OLE_LINK16" w:displacedByCustomXml="next"/>
  <w:bookmarkStart w:id="26" w:name="OLE_LINK15" w:displacedByCustomXml="next"/>
  <w:bookmarkStart w:id="27" w:name="_Hlk219902920" w:displacedByCustomXml="next"/>
  <w:bookmarkStart w:id="28" w:name="OLE_LINK12" w:displacedByCustomXml="next"/>
  <w:bookmarkStart w:id="29" w:name="OLE_LINK11" w:displacedByCustomXml="next"/>
  <w:sdt>
    <w:sdtPr>
      <w:rPr>
        <w:rStyle w:val="PageNumber"/>
      </w:rPr>
      <w:id w:val="-157921668"/>
      <w:docPartObj>
        <w:docPartGallery w:val="Page Numbers (Bottom of Page)"/>
        <w:docPartUnique/>
      </w:docPartObj>
    </w:sdtPr>
    <w:sdtContent>
      <w:p w14:paraId="593D1AA1" w14:textId="77777777" w:rsidR="00286DF0" w:rsidRDefault="00286DF0" w:rsidP="00286D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010C9B8F" w14:textId="396B3490" w:rsidR="00286DF0" w:rsidRDefault="00286DF0" w:rsidP="00286DF0">
    <w:pPr>
      <w:pStyle w:val="FirstParagraph"/>
      <w:ind w:right="360"/>
    </w:pPr>
    <w:r>
      <w:t>Document Reference: POL_HSQE_</w:t>
    </w:r>
    <w:r>
      <w:t>05</w:t>
    </w:r>
    <w:r>
      <w:t xml:space="preserve"> | Revision: 3 | Date: 1st July 2025</w:t>
    </w:r>
    <w:r>
      <w:br/>
      <w:t>Next Review: 1st July 2026 | Uncontrolled when printed</w:t>
    </w:r>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9F264" w14:textId="77777777" w:rsidR="00371EBE" w:rsidRDefault="00371EBE" w:rsidP="00286DF0">
      <w:r>
        <w:separator/>
      </w:r>
    </w:p>
  </w:footnote>
  <w:footnote w:type="continuationSeparator" w:id="0">
    <w:p w14:paraId="56A3C1F1" w14:textId="77777777" w:rsidR="00371EBE" w:rsidRDefault="00371EBE" w:rsidP="00286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43C3" w14:textId="77777777" w:rsidR="00286DF0" w:rsidRPr="001A76A4" w:rsidRDefault="00286DF0" w:rsidP="00286DF0">
    <w:pPr>
      <w:pStyle w:val="Header"/>
    </w:pPr>
    <w:bookmarkStart w:id="0" w:name="OLE_LINK9"/>
    <w:bookmarkStart w:id="1" w:name="OLE_LINK10"/>
    <w:bookmarkStart w:id="2" w:name="_Hlk219902909"/>
    <w:bookmarkStart w:id="3" w:name="OLE_LINK13"/>
    <w:bookmarkStart w:id="4" w:name="OLE_LINK14"/>
    <w:bookmarkStart w:id="5" w:name="_Hlk219902997"/>
    <w:bookmarkStart w:id="6" w:name="OLE_LINK17"/>
    <w:bookmarkStart w:id="7" w:name="OLE_LINK18"/>
    <w:bookmarkStart w:id="8" w:name="_Hlk219903051"/>
    <w:bookmarkStart w:id="9" w:name="OLE_LINK21"/>
    <w:bookmarkStart w:id="10" w:name="OLE_LINK22"/>
    <w:bookmarkStart w:id="11" w:name="_Hlk219903115"/>
    <w:bookmarkStart w:id="12" w:name="OLE_LINK25"/>
    <w:bookmarkStart w:id="13" w:name="OLE_LINK26"/>
    <w:bookmarkStart w:id="14" w:name="_Hlk219903178"/>
    <w:r>
      <w:tab/>
    </w:r>
    <w:r>
      <w:rPr>
        <w:noProof/>
      </w:rPr>
      <w:drawing>
        <wp:inline distT="0" distB="0" distL="0" distR="0" wp14:anchorId="481BD619" wp14:editId="6EF145C3">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182393BE" w14:textId="77777777" w:rsidR="00286DF0" w:rsidRDefault="00286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743BE"/>
    <w:multiLevelType w:val="hybridMultilevel"/>
    <w:tmpl w:val="2D1E38EC"/>
    <w:lvl w:ilvl="0" w:tplc="2E60A51A">
      <w:start w:val="1"/>
      <w:numFmt w:val="bullet"/>
      <w:lvlText w:val="●"/>
      <w:lvlJc w:val="left"/>
      <w:pPr>
        <w:ind w:left="720" w:hanging="360"/>
      </w:pPr>
    </w:lvl>
    <w:lvl w:ilvl="1" w:tplc="62B896E0">
      <w:start w:val="1"/>
      <w:numFmt w:val="bullet"/>
      <w:lvlText w:val="○"/>
      <w:lvlJc w:val="left"/>
      <w:pPr>
        <w:ind w:left="1440" w:hanging="360"/>
      </w:pPr>
    </w:lvl>
    <w:lvl w:ilvl="2" w:tplc="A2C8517C">
      <w:start w:val="1"/>
      <w:numFmt w:val="bullet"/>
      <w:lvlText w:val="■"/>
      <w:lvlJc w:val="left"/>
      <w:pPr>
        <w:ind w:left="2160" w:hanging="360"/>
      </w:pPr>
    </w:lvl>
    <w:lvl w:ilvl="3" w:tplc="6B24CAC0">
      <w:start w:val="1"/>
      <w:numFmt w:val="bullet"/>
      <w:lvlText w:val="●"/>
      <w:lvlJc w:val="left"/>
      <w:pPr>
        <w:ind w:left="2880" w:hanging="360"/>
      </w:pPr>
    </w:lvl>
    <w:lvl w:ilvl="4" w:tplc="BC2094DE">
      <w:start w:val="1"/>
      <w:numFmt w:val="bullet"/>
      <w:lvlText w:val="○"/>
      <w:lvlJc w:val="left"/>
      <w:pPr>
        <w:ind w:left="3600" w:hanging="360"/>
      </w:pPr>
    </w:lvl>
    <w:lvl w:ilvl="5" w:tplc="990A9AC6">
      <w:start w:val="1"/>
      <w:numFmt w:val="bullet"/>
      <w:lvlText w:val="■"/>
      <w:lvlJc w:val="left"/>
      <w:pPr>
        <w:ind w:left="4320" w:hanging="360"/>
      </w:pPr>
    </w:lvl>
    <w:lvl w:ilvl="6" w:tplc="1F8ED152">
      <w:start w:val="1"/>
      <w:numFmt w:val="bullet"/>
      <w:lvlText w:val="●"/>
      <w:lvlJc w:val="left"/>
      <w:pPr>
        <w:ind w:left="5040" w:hanging="360"/>
      </w:pPr>
    </w:lvl>
    <w:lvl w:ilvl="7" w:tplc="CFFEF538">
      <w:start w:val="1"/>
      <w:numFmt w:val="bullet"/>
      <w:lvlText w:val="●"/>
      <w:lvlJc w:val="left"/>
      <w:pPr>
        <w:ind w:left="5760" w:hanging="360"/>
      </w:pPr>
    </w:lvl>
    <w:lvl w:ilvl="8" w:tplc="145EE004">
      <w:start w:val="1"/>
      <w:numFmt w:val="bullet"/>
      <w:lvlText w:val="●"/>
      <w:lvlJc w:val="left"/>
      <w:pPr>
        <w:ind w:left="6480" w:hanging="360"/>
      </w:pPr>
    </w:lvl>
  </w:abstractNum>
  <w:abstractNum w:abstractNumId="1" w15:restartNumberingAfterBreak="0">
    <w:nsid w:val="3C275D74"/>
    <w:multiLevelType w:val="hybridMultilevel"/>
    <w:tmpl w:val="D45EC65E"/>
    <w:lvl w:ilvl="0" w:tplc="87B82442">
      <w:start w:val="1"/>
      <w:numFmt w:val="bullet"/>
      <w:lvlText w:val="•"/>
      <w:lvlJc w:val="left"/>
      <w:pPr>
        <w:ind w:left="720" w:hanging="360"/>
      </w:pPr>
    </w:lvl>
    <w:lvl w:ilvl="1" w:tplc="77D81A1A">
      <w:numFmt w:val="decimal"/>
      <w:lvlText w:val=""/>
      <w:lvlJc w:val="left"/>
    </w:lvl>
    <w:lvl w:ilvl="2" w:tplc="D774FC7E">
      <w:numFmt w:val="decimal"/>
      <w:lvlText w:val=""/>
      <w:lvlJc w:val="left"/>
    </w:lvl>
    <w:lvl w:ilvl="3" w:tplc="2452BD70">
      <w:numFmt w:val="decimal"/>
      <w:lvlText w:val=""/>
      <w:lvlJc w:val="left"/>
    </w:lvl>
    <w:lvl w:ilvl="4" w:tplc="E83001B4">
      <w:numFmt w:val="decimal"/>
      <w:lvlText w:val=""/>
      <w:lvlJc w:val="left"/>
    </w:lvl>
    <w:lvl w:ilvl="5" w:tplc="C6CC29F4">
      <w:numFmt w:val="decimal"/>
      <w:lvlText w:val=""/>
      <w:lvlJc w:val="left"/>
    </w:lvl>
    <w:lvl w:ilvl="6" w:tplc="F140AE9C">
      <w:numFmt w:val="decimal"/>
      <w:lvlText w:val=""/>
      <w:lvlJc w:val="left"/>
    </w:lvl>
    <w:lvl w:ilvl="7" w:tplc="25EC2B0E">
      <w:numFmt w:val="decimal"/>
      <w:lvlText w:val=""/>
      <w:lvlJc w:val="left"/>
    </w:lvl>
    <w:lvl w:ilvl="8" w:tplc="21A067A6">
      <w:numFmt w:val="decimal"/>
      <w:lvlText w:val=""/>
      <w:lvlJc w:val="left"/>
    </w:lvl>
  </w:abstractNum>
  <w:num w:numId="1" w16cid:durableId="17338910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61A"/>
    <w:rsid w:val="00286DF0"/>
    <w:rsid w:val="00371EBE"/>
    <w:rsid w:val="00AF161A"/>
    <w:rsid w:val="00E52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D37051B"/>
  <w15:docId w15:val="{CB497C12-4209-3745-94D1-BCC4C0F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286DF0"/>
    <w:pPr>
      <w:tabs>
        <w:tab w:val="center" w:pos="4513"/>
        <w:tab w:val="right" w:pos="9026"/>
      </w:tabs>
    </w:pPr>
  </w:style>
  <w:style w:type="character" w:customStyle="1" w:styleId="HeaderChar">
    <w:name w:val="Header Char"/>
    <w:basedOn w:val="DefaultParagraphFont"/>
    <w:link w:val="Header"/>
    <w:rsid w:val="00286DF0"/>
  </w:style>
  <w:style w:type="paragraph" w:styleId="Footer">
    <w:name w:val="footer"/>
    <w:basedOn w:val="Normal"/>
    <w:link w:val="FooterChar"/>
    <w:unhideWhenUsed/>
    <w:rsid w:val="00286DF0"/>
    <w:pPr>
      <w:tabs>
        <w:tab w:val="center" w:pos="4513"/>
        <w:tab w:val="right" w:pos="9026"/>
      </w:tabs>
    </w:pPr>
  </w:style>
  <w:style w:type="character" w:customStyle="1" w:styleId="FooterChar">
    <w:name w:val="Footer Char"/>
    <w:basedOn w:val="DefaultParagraphFont"/>
    <w:link w:val="Footer"/>
    <w:rsid w:val="00286DF0"/>
  </w:style>
  <w:style w:type="paragraph" w:customStyle="1" w:styleId="FirstParagraph">
    <w:name w:val="First Paragraph"/>
    <w:basedOn w:val="BodyText"/>
    <w:next w:val="BodyText"/>
    <w:qFormat/>
    <w:rsid w:val="00286DF0"/>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286DF0"/>
  </w:style>
  <w:style w:type="paragraph" w:styleId="BodyText">
    <w:name w:val="Body Text"/>
    <w:basedOn w:val="Normal"/>
    <w:link w:val="BodyTextChar"/>
    <w:uiPriority w:val="99"/>
    <w:semiHidden/>
    <w:unhideWhenUsed/>
    <w:rsid w:val="00286DF0"/>
    <w:pPr>
      <w:spacing w:after="120"/>
    </w:pPr>
  </w:style>
  <w:style w:type="character" w:customStyle="1" w:styleId="BodyTextChar">
    <w:name w:val="Body Text Char"/>
    <w:basedOn w:val="DefaultParagraphFont"/>
    <w:link w:val="BodyText"/>
    <w:uiPriority w:val="99"/>
    <w:semiHidden/>
    <w:rsid w:val="00286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8f83af00abe934257372014a506ddfdc">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38e3a60ec93e14ed675d65f2bf8ec894"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7E0DD9-96F6-4953-A15F-FA499646C3E9}"/>
</file>

<file path=customXml/itemProps2.xml><?xml version="1.0" encoding="utf-8"?>
<ds:datastoreItem xmlns:ds="http://schemas.openxmlformats.org/officeDocument/2006/customXml" ds:itemID="{7785D256-B4A3-403D-A851-2ABF71359FCB}"/>
</file>

<file path=customXml/itemProps3.xml><?xml version="1.0" encoding="utf-8"?>
<ds:datastoreItem xmlns:ds="http://schemas.openxmlformats.org/officeDocument/2006/customXml" ds:itemID="{9793F1A7-FEAC-4D65-8A3D-1C7021AC88C7}"/>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3454</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Sean Ashton</cp:lastModifiedBy>
  <cp:revision>2</cp:revision>
  <dcterms:created xsi:type="dcterms:W3CDTF">2026-01-21T15:43:00Z</dcterms:created>
  <dcterms:modified xsi:type="dcterms:W3CDTF">2026-01-21T15:54:00Z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