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AF8E6" w14:textId="77777777" w:rsidR="00DD5DFC" w:rsidRDefault="00000000">
      <w:pPr>
        <w:pStyle w:val="Heading1"/>
        <w:spacing w:after="200"/>
      </w:pPr>
      <w:r>
        <w:t>CORPORATE SOCIAL RESPONSIBILITY POLICY</w:t>
      </w:r>
    </w:p>
    <w:p w14:paraId="559B81BF" w14:textId="77777777" w:rsidR="00DD5DFC" w:rsidRDefault="00000000">
      <w:pPr>
        <w:pStyle w:val="Heading2"/>
        <w:spacing w:before="240" w:after="120"/>
      </w:pPr>
      <w:r>
        <w:t>Purpose</w:t>
      </w:r>
    </w:p>
    <w:p w14:paraId="49CD4F55" w14:textId="77777777" w:rsidR="00DD5DFC" w:rsidRDefault="00000000">
      <w:pPr>
        <w:spacing w:after="120"/>
      </w:pPr>
      <w:r>
        <w:t>A M Water Services Ltd recognizes that our business activities impact the communities we serve, the environment we work in, and society as a whole. As a family-run business with strong roots in Northamptonshire, this policy demonstrates our commitment to operating responsibly and contributing positively to sustainable development while delivering water and grab services.</w:t>
      </w:r>
    </w:p>
    <w:p w14:paraId="64694CA3" w14:textId="77777777" w:rsidR="00DD5DFC" w:rsidRDefault="00000000">
      <w:pPr>
        <w:pStyle w:val="Heading2"/>
        <w:spacing w:before="240" w:after="120"/>
      </w:pPr>
      <w:r>
        <w:t>Scope</w:t>
      </w:r>
    </w:p>
    <w:p w14:paraId="36AE0479" w14:textId="77777777" w:rsidR="00DD5DFC" w:rsidRDefault="00000000">
      <w:pPr>
        <w:spacing w:after="120"/>
      </w:pPr>
      <w:r>
        <w:t>This policy applies to all employees, directors, contractors, and stakeholders of A M Water Services Ltd, covering all business operations, supplier relationships, community engagement activities, and environmental management practices.</w:t>
      </w:r>
    </w:p>
    <w:p w14:paraId="4CEE6814" w14:textId="77777777" w:rsidR="00DD5DFC" w:rsidRDefault="00000000">
      <w:pPr>
        <w:pStyle w:val="Heading2"/>
        <w:spacing w:before="240" w:after="120"/>
      </w:pPr>
      <w:r>
        <w:t>Policy Statement</w:t>
      </w:r>
    </w:p>
    <w:p w14:paraId="711BA419" w14:textId="77777777" w:rsidR="00DD5DFC" w:rsidRDefault="00000000">
      <w:pPr>
        <w:spacing w:after="120"/>
      </w:pPr>
      <w:r>
        <w:t>We believe that responsible business practices create value for our company, our people, and the communities where we operate. Our commitment to corporate social responsibility shapes every aspect of our operations, from how we treat our employees to how we manage our environmental impact. We integrate social, environmental, and ethical considerations into our daily business decisions, recognizing that our success depends on the wellbeing of the communities and environment around us.</w:t>
      </w:r>
    </w:p>
    <w:p w14:paraId="4C73554F" w14:textId="77777777" w:rsidR="00DD5DFC" w:rsidRDefault="00000000">
      <w:pPr>
        <w:spacing w:after="120"/>
      </w:pPr>
      <w:r>
        <w:t>Our approach focuses on four key areas that guide our responsible business practices. First, we prioritize local community engagement through employment, training, and support initiatives. We actively recruit from Northamptonshire, offering apprenticeships to young people and creating sustainable employment opportunities that pay above the living wage. Additionally, we support local causes including the Knife Crime Matters charity, sponsor youth groups and sports teams, and participate in community events that strengthen our local connections.</w:t>
      </w:r>
    </w:p>
    <w:p w14:paraId="7F9C85B2" w14:textId="77777777" w:rsidR="00DD5DFC" w:rsidRDefault="00000000">
      <w:pPr>
        <w:spacing w:after="120"/>
      </w:pPr>
      <w:r>
        <w:t>Environmental stewardship forms the second pillar of our commitment. Working in the water industry brings particular responsibilities for protecting natural resources. We maintain comprehensive environmental controls including spill kits on all vehicles, proper chemical storage for water treatment operations, and careful management of excavation waste. Our grab operations follow strict protocols to prevent pollution, minimize noise, and reduce emissions through efficient route planning and well-maintained vehicles. We actively pursue recycling opportunities, proper waste segregation, and energy efficiency measures across our depot and site operations.</w:t>
      </w:r>
    </w:p>
    <w:p w14:paraId="32C2013D" w14:textId="77777777" w:rsidR="00DD5DFC" w:rsidRDefault="00000000">
      <w:pPr>
        <w:spacing w:after="120"/>
      </w:pPr>
      <w:r>
        <w:t>Ethical business practices represent our third commitment area. We conduct all business with integrity and transparency, maintaining fair payment terms with suppliers, transparent tender processes, and zero tolerance for bribery or corruption. We respect human rights throughout our supply chain, ensure equal opportunities for all, and maintain strong anti-slavery measures. Our whistleblowing procedures provide safe channels for reporting concerns, while our procurement policies favor local suppliers who share our ethical standards.</w:t>
      </w:r>
    </w:p>
    <w:p w14:paraId="57B65980" w14:textId="77777777" w:rsidR="00DD5DFC" w:rsidRDefault="00000000">
      <w:pPr>
        <w:spacing w:after="120"/>
      </w:pPr>
      <w:r>
        <w:t xml:space="preserve">Finally, workplace responsibility ensures we develop and protect our people. We invest in comprehensive training programs, support professional qualifications, and provide clear career progression paths. Health and wellbeing extend beyond basic safety requirements to include mental health support, work-life balance initiatives, and recognition programs that </w:t>
      </w:r>
      <w:r>
        <w:lastRenderedPageBreak/>
        <w:t>celebrate our #TEAM values. We maintain an inclusive workplace where diversity is valued and discrimination has no place.</w:t>
      </w:r>
    </w:p>
    <w:p w14:paraId="09946343" w14:textId="77777777" w:rsidR="00DD5DFC" w:rsidRDefault="00000000">
      <w:pPr>
        <w:pStyle w:val="Heading2"/>
        <w:spacing w:before="240" w:after="120"/>
      </w:pPr>
      <w:r>
        <w:t>Implementation and Monitoring</w:t>
      </w:r>
    </w:p>
    <w:p w14:paraId="1CB0BA10" w14:textId="77777777" w:rsidR="00DD5DFC" w:rsidRDefault="00000000">
      <w:pPr>
        <w:spacing w:after="120"/>
      </w:pPr>
      <w:r>
        <w:t>The Directors lead our CSR committee, which meets quarterly to review performance against our commitments and approve new initiatives. We measure our impact through specific metrics including local employment percentages, community investment hours, carbon emissions, waste diverted from landfill, and safety performance. All employees receive CSR awareness training during induction, with regular updates through toolbox talks. We engage with stakeholders through consultation processes, feedback mechanisms, and transparent annual reporting that demonstrates our progress and identifies areas for improvement.</w:t>
      </w:r>
    </w:p>
    <w:p w14:paraId="42DEBE8C" w14:textId="77777777" w:rsidR="00DD5DFC" w:rsidRDefault="00000000">
      <w:pPr>
        <w:pStyle w:val="Heading2"/>
        <w:spacing w:before="240" w:after="120"/>
      </w:pPr>
      <w:r>
        <w:t>Review</w:t>
      </w:r>
    </w:p>
    <w:p w14:paraId="7640C651" w14:textId="77777777" w:rsidR="00DD5DFC" w:rsidRDefault="00000000">
      <w:pPr>
        <w:spacing w:after="120"/>
      </w:pPr>
      <w:r>
        <w:t>This policy will be reviewed annually by the Directors to ensure it remains effective and continues to demonstrate our commitment to responsible business practices that benefit our community, protect our environment, and uphold the highest ethical standards.</w:t>
      </w:r>
    </w:p>
    <w:p w14:paraId="2E04F9E1" w14:textId="77777777" w:rsidR="00DD5DFC" w:rsidRDefault="00DD5DFC">
      <w:pPr>
        <w:spacing w:before="240"/>
      </w:pPr>
    </w:p>
    <w:p w14:paraId="0FF2E829" w14:textId="77777777" w:rsidR="00DD5DFC" w:rsidRDefault="00000000">
      <w:pPr>
        <w:spacing w:after="120"/>
      </w:pPr>
      <w:r>
        <w:rPr>
          <w:b/>
          <w:bCs/>
        </w:rPr>
        <w:t>Signed:</w:t>
      </w:r>
    </w:p>
    <w:p w14:paraId="74C121F1" w14:textId="77777777" w:rsidR="00DD5DFC" w:rsidRDefault="00000000">
      <w:pPr>
        <w:spacing w:after="40"/>
      </w:pPr>
      <w:r>
        <w:rPr>
          <w:b/>
          <w:bCs/>
        </w:rPr>
        <w:t>Aaron Mason</w:t>
      </w:r>
    </w:p>
    <w:p w14:paraId="30400B78" w14:textId="77777777" w:rsidR="00DD5DFC" w:rsidRDefault="00000000">
      <w:pPr>
        <w:spacing w:after="40"/>
      </w:pPr>
      <w:r>
        <w:t>Director</w:t>
      </w:r>
    </w:p>
    <w:p w14:paraId="2404CA3F" w14:textId="77777777" w:rsidR="00DD5DFC" w:rsidRDefault="00000000">
      <w:pPr>
        <w:spacing w:after="40"/>
      </w:pPr>
      <w:r>
        <w:t>A M Water Services Ltd</w:t>
      </w:r>
    </w:p>
    <w:p w14:paraId="66CF8995" w14:textId="77777777" w:rsidR="00DD5DFC" w:rsidRDefault="00000000">
      <w:r>
        <w:t>1st July 2025</w:t>
      </w:r>
    </w:p>
    <w:p w14:paraId="42DE09E5" w14:textId="77777777" w:rsidR="00DD5DFC" w:rsidRDefault="00DD5DFC">
      <w:pPr>
        <w:spacing w:before="480"/>
      </w:pPr>
    </w:p>
    <w:p w14:paraId="5B2E7E31" w14:textId="77777777" w:rsidR="00DD5DFC" w:rsidRDefault="00000000">
      <w:pPr>
        <w:spacing w:after="40"/>
      </w:pPr>
      <w:r>
        <w:rPr>
          <w:color w:val="666666"/>
          <w:sz w:val="18"/>
          <w:szCs w:val="18"/>
        </w:rPr>
        <w:t>Document Reference: POL_HSQE_07 | Revision: 3 | Date: 1st July 2025</w:t>
      </w:r>
    </w:p>
    <w:p w14:paraId="21ABFC23" w14:textId="77777777" w:rsidR="00DD5DFC" w:rsidRDefault="00000000">
      <w:r>
        <w:rPr>
          <w:color w:val="666666"/>
          <w:sz w:val="18"/>
          <w:szCs w:val="18"/>
        </w:rPr>
        <w:t>Next Review: 1st July 2026 | Uncontrolled when printed</w:t>
      </w:r>
    </w:p>
    <w:sectPr w:rsidR="00DD5DFC">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90CEC" w14:textId="77777777" w:rsidR="00CE0DC6" w:rsidRDefault="00CE0DC6" w:rsidP="00FE316E">
      <w:r>
        <w:separator/>
      </w:r>
    </w:p>
  </w:endnote>
  <w:endnote w:type="continuationSeparator" w:id="0">
    <w:p w14:paraId="02EAB749" w14:textId="77777777" w:rsidR="00CE0DC6" w:rsidRDefault="00CE0DC6" w:rsidP="00FE3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1" w:name="_Hlk219903285" w:displacedByCustomXml="next"/>
  <w:bookmarkStart w:id="22" w:name="OLE_LINK36" w:displacedByCustomXml="next"/>
  <w:bookmarkStart w:id="23" w:name="OLE_LINK35" w:displacedByCustomXml="next"/>
  <w:bookmarkStart w:id="24" w:name="_Hlk219903237" w:displacedByCustomXml="next"/>
  <w:bookmarkStart w:id="25" w:name="OLE_LINK32" w:displacedByCustomXml="next"/>
  <w:bookmarkStart w:id="26" w:name="OLE_LINK31" w:displacedByCustomXml="next"/>
  <w:bookmarkStart w:id="27" w:name="_Hlk219903185" w:displacedByCustomXml="next"/>
  <w:bookmarkStart w:id="28" w:name="OLE_LINK28" w:displacedByCustomXml="next"/>
  <w:bookmarkStart w:id="29" w:name="OLE_LINK27" w:displacedByCustomXml="next"/>
  <w:bookmarkStart w:id="30" w:name="_Hlk219903139" w:displacedByCustomXml="next"/>
  <w:bookmarkStart w:id="31" w:name="OLE_LINK24" w:displacedByCustomXml="next"/>
  <w:bookmarkStart w:id="32" w:name="OLE_LINK23" w:displacedByCustomXml="next"/>
  <w:bookmarkStart w:id="33" w:name="_Hlk219903062" w:displacedByCustomXml="next"/>
  <w:bookmarkStart w:id="34" w:name="OLE_LINK20" w:displacedByCustomXml="next"/>
  <w:bookmarkStart w:id="35" w:name="OLE_LINK19" w:displacedByCustomXml="next"/>
  <w:bookmarkStart w:id="36" w:name="_Hlk219903009" w:displacedByCustomXml="next"/>
  <w:bookmarkStart w:id="37" w:name="OLE_LINK16" w:displacedByCustomXml="next"/>
  <w:bookmarkStart w:id="38" w:name="OLE_LINK15" w:displacedByCustomXml="next"/>
  <w:bookmarkStart w:id="39" w:name="_Hlk219902920" w:displacedByCustomXml="next"/>
  <w:bookmarkStart w:id="40" w:name="OLE_LINK12" w:displacedByCustomXml="next"/>
  <w:bookmarkStart w:id="41" w:name="OLE_LINK11" w:displacedByCustomXml="next"/>
  <w:sdt>
    <w:sdtPr>
      <w:rPr>
        <w:rStyle w:val="PageNumber"/>
      </w:rPr>
      <w:id w:val="-157921668"/>
      <w:docPartObj>
        <w:docPartGallery w:val="Page Numbers (Bottom of Page)"/>
        <w:docPartUnique/>
      </w:docPartObj>
    </w:sdtPr>
    <w:sdtContent>
      <w:p w14:paraId="2325428F" w14:textId="77777777" w:rsidR="00FE316E" w:rsidRDefault="00FE316E" w:rsidP="00FE31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sdtContent>
  </w:sdt>
  <w:p w14:paraId="1BFA1DC1" w14:textId="01E55434" w:rsidR="00FE316E" w:rsidRDefault="00FE316E" w:rsidP="00FE316E">
    <w:pPr>
      <w:pStyle w:val="FirstParagraph"/>
      <w:ind w:right="360"/>
    </w:pPr>
    <w:r>
      <w:t>Document Reference: POL_HSQE_</w:t>
    </w:r>
    <w:r>
      <w:t>07</w:t>
    </w:r>
    <w:r>
      <w:t xml:space="preserve"> | Revision: 3 | Date: 1st July 2025</w:t>
    </w:r>
    <w:r>
      <w:br/>
      <w:t>Next Review: 1st July 2026 | Uncontrolled when printed</w:t>
    </w:r>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00812" w14:textId="77777777" w:rsidR="00CE0DC6" w:rsidRDefault="00CE0DC6" w:rsidP="00FE316E">
      <w:r>
        <w:separator/>
      </w:r>
    </w:p>
  </w:footnote>
  <w:footnote w:type="continuationSeparator" w:id="0">
    <w:p w14:paraId="042BCFAC" w14:textId="77777777" w:rsidR="00CE0DC6" w:rsidRDefault="00CE0DC6" w:rsidP="00FE3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DF3F" w14:textId="77777777" w:rsidR="00FE316E" w:rsidRPr="001A76A4" w:rsidRDefault="00FE316E" w:rsidP="00FE316E">
    <w:pPr>
      <w:pStyle w:val="Header"/>
    </w:pPr>
    <w:bookmarkStart w:id="0" w:name="OLE_LINK9"/>
    <w:bookmarkStart w:id="1" w:name="OLE_LINK10"/>
    <w:bookmarkStart w:id="2" w:name="_Hlk219902909"/>
    <w:bookmarkStart w:id="3" w:name="OLE_LINK13"/>
    <w:bookmarkStart w:id="4" w:name="OLE_LINK14"/>
    <w:bookmarkStart w:id="5" w:name="_Hlk219902997"/>
    <w:bookmarkStart w:id="6" w:name="OLE_LINK17"/>
    <w:bookmarkStart w:id="7" w:name="OLE_LINK18"/>
    <w:bookmarkStart w:id="8" w:name="_Hlk219903051"/>
    <w:bookmarkStart w:id="9" w:name="OLE_LINK21"/>
    <w:bookmarkStart w:id="10" w:name="OLE_LINK22"/>
    <w:bookmarkStart w:id="11" w:name="_Hlk219903115"/>
    <w:bookmarkStart w:id="12" w:name="OLE_LINK25"/>
    <w:bookmarkStart w:id="13" w:name="OLE_LINK26"/>
    <w:bookmarkStart w:id="14" w:name="_Hlk219903178"/>
    <w:bookmarkStart w:id="15" w:name="OLE_LINK29"/>
    <w:bookmarkStart w:id="16" w:name="OLE_LINK30"/>
    <w:bookmarkStart w:id="17" w:name="_Hlk219903232"/>
    <w:bookmarkStart w:id="18" w:name="OLE_LINK33"/>
    <w:bookmarkStart w:id="19" w:name="OLE_LINK34"/>
    <w:bookmarkStart w:id="20" w:name="_Hlk219903271"/>
    <w:r>
      <w:tab/>
    </w:r>
    <w:r>
      <w:rPr>
        <w:noProof/>
      </w:rPr>
      <w:drawing>
        <wp:inline distT="0" distB="0" distL="0" distR="0" wp14:anchorId="0DE9D3B0" wp14:editId="5E6AB3E5">
          <wp:extent cx="1437740" cy="547200"/>
          <wp:effectExtent l="0" t="0" r="0" b="0"/>
          <wp:docPr id="1033883017" name="Picture 1" descr="A blue lett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83017" name="Picture 1" descr="A blue letter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7740" cy="547200"/>
                  </a:xfrm>
                  <a:prstGeom prst="rect">
                    <a:avLst/>
                  </a:prstGeom>
                </pic:spPr>
              </pic:pic>
            </a:graphicData>
          </a:graphic>
        </wp:inline>
      </w:drawing>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1CF22CF4" w14:textId="77777777" w:rsidR="00FE316E" w:rsidRDefault="00FE3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05420"/>
    <w:multiLevelType w:val="hybridMultilevel"/>
    <w:tmpl w:val="0B7CDF7E"/>
    <w:lvl w:ilvl="0" w:tplc="77C8C802">
      <w:start w:val="1"/>
      <w:numFmt w:val="bullet"/>
      <w:lvlText w:val="•"/>
      <w:lvlJc w:val="left"/>
      <w:pPr>
        <w:ind w:left="720" w:hanging="360"/>
      </w:pPr>
    </w:lvl>
    <w:lvl w:ilvl="1" w:tplc="87648068">
      <w:numFmt w:val="decimal"/>
      <w:lvlText w:val=""/>
      <w:lvlJc w:val="left"/>
    </w:lvl>
    <w:lvl w:ilvl="2" w:tplc="900ECEDA">
      <w:numFmt w:val="decimal"/>
      <w:lvlText w:val=""/>
      <w:lvlJc w:val="left"/>
    </w:lvl>
    <w:lvl w:ilvl="3" w:tplc="3460B6A4">
      <w:numFmt w:val="decimal"/>
      <w:lvlText w:val=""/>
      <w:lvlJc w:val="left"/>
    </w:lvl>
    <w:lvl w:ilvl="4" w:tplc="34D4F694">
      <w:numFmt w:val="decimal"/>
      <w:lvlText w:val=""/>
      <w:lvlJc w:val="left"/>
    </w:lvl>
    <w:lvl w:ilvl="5" w:tplc="356CD450">
      <w:numFmt w:val="decimal"/>
      <w:lvlText w:val=""/>
      <w:lvlJc w:val="left"/>
    </w:lvl>
    <w:lvl w:ilvl="6" w:tplc="BDEE0436">
      <w:numFmt w:val="decimal"/>
      <w:lvlText w:val=""/>
      <w:lvlJc w:val="left"/>
    </w:lvl>
    <w:lvl w:ilvl="7" w:tplc="ECA4F880">
      <w:numFmt w:val="decimal"/>
      <w:lvlText w:val=""/>
      <w:lvlJc w:val="left"/>
    </w:lvl>
    <w:lvl w:ilvl="8" w:tplc="DF4C1208">
      <w:numFmt w:val="decimal"/>
      <w:lvlText w:val=""/>
      <w:lvlJc w:val="left"/>
    </w:lvl>
  </w:abstractNum>
  <w:abstractNum w:abstractNumId="1" w15:restartNumberingAfterBreak="0">
    <w:nsid w:val="788F5F14"/>
    <w:multiLevelType w:val="hybridMultilevel"/>
    <w:tmpl w:val="BBBA69A4"/>
    <w:lvl w:ilvl="0" w:tplc="4E2E9D00">
      <w:start w:val="1"/>
      <w:numFmt w:val="bullet"/>
      <w:lvlText w:val="●"/>
      <w:lvlJc w:val="left"/>
      <w:pPr>
        <w:ind w:left="720" w:hanging="360"/>
      </w:pPr>
    </w:lvl>
    <w:lvl w:ilvl="1" w:tplc="8FCE6372">
      <w:start w:val="1"/>
      <w:numFmt w:val="bullet"/>
      <w:lvlText w:val="○"/>
      <w:lvlJc w:val="left"/>
      <w:pPr>
        <w:ind w:left="1440" w:hanging="360"/>
      </w:pPr>
    </w:lvl>
    <w:lvl w:ilvl="2" w:tplc="7DCA36AA">
      <w:start w:val="1"/>
      <w:numFmt w:val="bullet"/>
      <w:lvlText w:val="■"/>
      <w:lvlJc w:val="left"/>
      <w:pPr>
        <w:ind w:left="2160" w:hanging="360"/>
      </w:pPr>
    </w:lvl>
    <w:lvl w:ilvl="3" w:tplc="A5228E74">
      <w:start w:val="1"/>
      <w:numFmt w:val="bullet"/>
      <w:lvlText w:val="●"/>
      <w:lvlJc w:val="left"/>
      <w:pPr>
        <w:ind w:left="2880" w:hanging="360"/>
      </w:pPr>
    </w:lvl>
    <w:lvl w:ilvl="4" w:tplc="7A58DF48">
      <w:start w:val="1"/>
      <w:numFmt w:val="bullet"/>
      <w:lvlText w:val="○"/>
      <w:lvlJc w:val="left"/>
      <w:pPr>
        <w:ind w:left="3600" w:hanging="360"/>
      </w:pPr>
    </w:lvl>
    <w:lvl w:ilvl="5" w:tplc="8E224B80">
      <w:start w:val="1"/>
      <w:numFmt w:val="bullet"/>
      <w:lvlText w:val="■"/>
      <w:lvlJc w:val="left"/>
      <w:pPr>
        <w:ind w:left="4320" w:hanging="360"/>
      </w:pPr>
    </w:lvl>
    <w:lvl w:ilvl="6" w:tplc="DD4EB0D0">
      <w:start w:val="1"/>
      <w:numFmt w:val="bullet"/>
      <w:lvlText w:val="●"/>
      <w:lvlJc w:val="left"/>
      <w:pPr>
        <w:ind w:left="5040" w:hanging="360"/>
      </w:pPr>
    </w:lvl>
    <w:lvl w:ilvl="7" w:tplc="BB3A102C">
      <w:start w:val="1"/>
      <w:numFmt w:val="bullet"/>
      <w:lvlText w:val="●"/>
      <w:lvlJc w:val="left"/>
      <w:pPr>
        <w:ind w:left="5760" w:hanging="360"/>
      </w:pPr>
    </w:lvl>
    <w:lvl w:ilvl="8" w:tplc="AA5028D6">
      <w:start w:val="1"/>
      <w:numFmt w:val="bullet"/>
      <w:lvlText w:val="●"/>
      <w:lvlJc w:val="left"/>
      <w:pPr>
        <w:ind w:left="6480" w:hanging="360"/>
      </w:pPr>
    </w:lvl>
  </w:abstractNum>
  <w:num w:numId="1" w16cid:durableId="11400793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5"/>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DFC"/>
    <w:rsid w:val="00CE0DC6"/>
    <w:rsid w:val="00DD5DFC"/>
    <w:rsid w:val="00E52E93"/>
    <w:rsid w:val="00FE3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28EF1BB"/>
  <w15:docId w15:val="{CB497C12-4209-3745-94D1-BCC4C0FB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2E74B5"/>
      <w:sz w:val="36"/>
      <w:szCs w:val="36"/>
    </w:rPr>
  </w:style>
  <w:style w:type="paragraph" w:styleId="Heading2">
    <w:name w:val="heading 2"/>
    <w:uiPriority w:val="9"/>
    <w:unhideWhenUsed/>
    <w:qFormat/>
    <w:pPr>
      <w:spacing w:before="200" w:after="80"/>
      <w:outlineLvl w:val="1"/>
    </w:pPr>
    <w:rPr>
      <w:b/>
      <w:bCs/>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nhideWhenUsed/>
    <w:rsid w:val="00FE316E"/>
    <w:pPr>
      <w:tabs>
        <w:tab w:val="center" w:pos="4513"/>
        <w:tab w:val="right" w:pos="9026"/>
      </w:tabs>
    </w:pPr>
  </w:style>
  <w:style w:type="character" w:customStyle="1" w:styleId="HeaderChar">
    <w:name w:val="Header Char"/>
    <w:basedOn w:val="DefaultParagraphFont"/>
    <w:link w:val="Header"/>
    <w:rsid w:val="00FE316E"/>
  </w:style>
  <w:style w:type="paragraph" w:styleId="Footer">
    <w:name w:val="footer"/>
    <w:basedOn w:val="Normal"/>
    <w:link w:val="FooterChar"/>
    <w:unhideWhenUsed/>
    <w:rsid w:val="00FE316E"/>
    <w:pPr>
      <w:tabs>
        <w:tab w:val="center" w:pos="4513"/>
        <w:tab w:val="right" w:pos="9026"/>
      </w:tabs>
    </w:pPr>
  </w:style>
  <w:style w:type="character" w:customStyle="1" w:styleId="FooterChar">
    <w:name w:val="Footer Char"/>
    <w:basedOn w:val="DefaultParagraphFont"/>
    <w:link w:val="Footer"/>
    <w:rsid w:val="00FE316E"/>
  </w:style>
  <w:style w:type="paragraph" w:customStyle="1" w:styleId="FirstParagraph">
    <w:name w:val="First Paragraph"/>
    <w:basedOn w:val="BodyText"/>
    <w:next w:val="BodyText"/>
    <w:qFormat/>
    <w:rsid w:val="00FE316E"/>
    <w:pPr>
      <w:spacing w:before="180" w:after="180"/>
    </w:pPr>
    <w:rPr>
      <w:rFonts w:asciiTheme="minorHAnsi" w:eastAsiaTheme="minorHAnsi" w:hAnsiTheme="minorHAnsi" w:cstheme="minorBidi"/>
      <w:sz w:val="24"/>
      <w:szCs w:val="24"/>
      <w:lang w:val="en-US" w:eastAsia="en-US"/>
    </w:rPr>
  </w:style>
  <w:style w:type="character" w:styleId="PageNumber">
    <w:name w:val="page number"/>
    <w:basedOn w:val="DefaultParagraphFont"/>
    <w:rsid w:val="00FE316E"/>
  </w:style>
  <w:style w:type="paragraph" w:styleId="BodyText">
    <w:name w:val="Body Text"/>
    <w:basedOn w:val="Normal"/>
    <w:link w:val="BodyTextChar"/>
    <w:uiPriority w:val="99"/>
    <w:semiHidden/>
    <w:unhideWhenUsed/>
    <w:rsid w:val="00FE316E"/>
    <w:pPr>
      <w:spacing w:after="120"/>
    </w:pPr>
  </w:style>
  <w:style w:type="character" w:customStyle="1" w:styleId="BodyTextChar">
    <w:name w:val="Body Text Char"/>
    <w:basedOn w:val="DefaultParagraphFont"/>
    <w:link w:val="BodyText"/>
    <w:uiPriority w:val="99"/>
    <w:semiHidden/>
    <w:rsid w:val="00FE3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05488F2C8294E8B9DB7FC1556790D" ma:contentTypeVersion="18" ma:contentTypeDescription="Create a new document." ma:contentTypeScope="" ma:versionID="8f83af00abe934257372014a506ddfdc">
  <xsd:schema xmlns:xsd="http://www.w3.org/2001/XMLSchema" xmlns:xs="http://www.w3.org/2001/XMLSchema" xmlns:p="http://schemas.microsoft.com/office/2006/metadata/properties" xmlns:ns2="b127f04f-e2db-402c-9642-b359ae0b755c" xmlns:ns3="f3751fdd-ed97-4cf6-ae5b-8f2c94105c7c" targetNamespace="http://schemas.microsoft.com/office/2006/metadata/properties" ma:root="true" ma:fieldsID="38e3a60ec93e14ed675d65f2bf8ec894" ns2:_="" ns3:_="">
    <xsd:import namespace="b127f04f-e2db-402c-9642-b359ae0b755c"/>
    <xsd:import namespace="f3751fdd-ed97-4cf6-ae5b-8f2c94105c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7f04f-e2db-402c-9642-b359ae0b7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1fadb5-81be-487b-866c-b97f84e5bb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51fdd-ed97-4cf6-ae5b-8f2c94105c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5db31a6-461d-45da-afc0-54e32a18f34c}" ma:internalName="TaxCatchAll" ma:showField="CatchAllData" ma:web="f3751fdd-ed97-4cf6-ae5b-8f2c94105c7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751fdd-ed97-4cf6-ae5b-8f2c94105c7c" xsi:nil="true"/>
    <lcf76f155ced4ddcb4097134ff3c332f xmlns="b127f04f-e2db-402c-9642-b359ae0b75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D9AC4A-E078-40C7-B6EF-88024477A901}"/>
</file>

<file path=customXml/itemProps2.xml><?xml version="1.0" encoding="utf-8"?>
<ds:datastoreItem xmlns:ds="http://schemas.openxmlformats.org/officeDocument/2006/customXml" ds:itemID="{5A16CDA7-FB3D-439B-B51B-748034FED0E7}"/>
</file>

<file path=customXml/itemProps3.xml><?xml version="1.0" encoding="utf-8"?>
<ds:datastoreItem xmlns:ds="http://schemas.openxmlformats.org/officeDocument/2006/customXml" ds:itemID="{7617AD28-BE69-4CB2-A605-26423D9BA737}"/>
</file>

<file path=docProps/app.xml><?xml version="1.0" encoding="utf-8"?>
<Properties xmlns="http://schemas.openxmlformats.org/officeDocument/2006/extended-properties" xmlns:vt="http://schemas.openxmlformats.org/officeDocument/2006/docPropsVTypes">
  <Template>Normal.dotm</Template>
  <TotalTime>1</TotalTime>
  <Pages>2</Pages>
  <Words>671</Words>
  <Characters>3828</Characters>
  <Application>Microsoft Office Word</Application>
  <DocSecurity>0</DocSecurity>
  <Lines>31</Lines>
  <Paragraphs>8</Paragraphs>
  <ScaleCrop>false</ScaleCrop>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Sean Ashton</cp:lastModifiedBy>
  <cp:revision>2</cp:revision>
  <dcterms:created xsi:type="dcterms:W3CDTF">2026-01-21T15:43:00Z</dcterms:created>
  <dcterms:modified xsi:type="dcterms:W3CDTF">2026-01-21T15:55:00Z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0x0101006CC05488F2C8294E8B9DB7FC1556790D</vt:lpwstr>
  </property>
</Properties>
</file>