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94BF" w14:textId="77777777" w:rsidR="006E015B" w:rsidRDefault="00000000">
      <w:pPr>
        <w:pStyle w:val="Heading1"/>
        <w:spacing w:after="200"/>
      </w:pPr>
      <w:r>
        <w:t>EQUIPMENT AND ELECTRICAL EQUIPMENT POLICY</w:t>
      </w:r>
    </w:p>
    <w:p w14:paraId="15103942" w14:textId="77777777" w:rsidR="006E015B" w:rsidRDefault="00000000">
      <w:pPr>
        <w:pStyle w:val="Heading2"/>
        <w:spacing w:before="240" w:after="120"/>
      </w:pPr>
      <w:r>
        <w:t>Purpose</w:t>
      </w:r>
    </w:p>
    <w:p w14:paraId="2A715299" w14:textId="77777777" w:rsidR="006E015B" w:rsidRDefault="00000000">
      <w:pPr>
        <w:spacing w:after="120"/>
      </w:pPr>
      <w:r>
        <w:t>This policy ensures that all work equipment and electrical equipment used by A M Water Services Ltd is safe, properly maintained, and suitable for its intended purpose, protecting our employees and contractors from injury while maintaining operational efficiency across our water infrastructure and grab operations.</w:t>
      </w:r>
    </w:p>
    <w:p w14:paraId="587A8535" w14:textId="77777777" w:rsidR="006E015B" w:rsidRDefault="00000000">
      <w:pPr>
        <w:pStyle w:val="Heading2"/>
        <w:spacing w:before="240" w:after="120"/>
      </w:pPr>
      <w:r>
        <w:t>Scope</w:t>
      </w:r>
    </w:p>
    <w:p w14:paraId="6F5522FC" w14:textId="77777777" w:rsidR="006E015B" w:rsidRDefault="00000000">
      <w:pPr>
        <w:spacing w:after="120"/>
      </w:pPr>
      <w:r>
        <w:t>This policy applies to all employees, directors, contractors, and visitors using any work equipment or electrical equipment on A M Water Services Ltd premises, sites, or in company vehicles.</w:t>
      </w:r>
    </w:p>
    <w:p w14:paraId="302C0A7E" w14:textId="77777777" w:rsidR="006E015B" w:rsidRDefault="00000000">
      <w:pPr>
        <w:pStyle w:val="Heading2"/>
        <w:spacing w:before="240" w:after="120"/>
      </w:pPr>
      <w:r>
        <w:t>Legal Requirements</w:t>
      </w:r>
    </w:p>
    <w:p w14:paraId="249B61A9" w14:textId="77777777" w:rsidR="006E015B" w:rsidRDefault="00000000">
      <w:pPr>
        <w:spacing w:after="120"/>
      </w:pPr>
      <w:r>
        <w:t>This policy ensures compliance with the Provision and Use of Work Equipment Regulations 1998, the Electricity at Work Regulations 1989, and the Health and Safety at Work Act 1974.</w:t>
      </w:r>
    </w:p>
    <w:p w14:paraId="77FE5AB8" w14:textId="77777777" w:rsidR="006E015B" w:rsidRDefault="00000000">
      <w:pPr>
        <w:pStyle w:val="Heading2"/>
        <w:spacing w:before="240" w:after="120"/>
      </w:pPr>
      <w:r>
        <w:t>Equipment Management and Inspection</w:t>
      </w:r>
    </w:p>
    <w:p w14:paraId="73EB4C3D" w14:textId="77777777" w:rsidR="006E015B" w:rsidRDefault="00000000">
      <w:pPr>
        <w:spacing w:after="120"/>
      </w:pPr>
      <w:r>
        <w:t>All work equipment is allocated a unique identity number enabling clear tracking and inspection records. This includes grinders, disc cutters, generators, transformers, drills, ladders, access equipment, excavation tools, and grab hydraulic systems. Our supervisors conduct weekly inspections using prescribed PUWER forms, ensuring every piece of equipment remains in safe working condition. Additionally, all employees must visually inspect equipment before each use, checking for obvious defects, damage, or wear that could create hazards.</w:t>
      </w:r>
    </w:p>
    <w:p w14:paraId="24D8A2B1" w14:textId="77777777" w:rsidR="006E015B" w:rsidRDefault="00000000">
      <w:pPr>
        <w:spacing w:after="120"/>
      </w:pPr>
      <w:r>
        <w:t>Any equipment found to be defective must be immediately marked as such, removed from service, and reported to the site supervisor. We maintain comprehensive records of all inspections, repairs, and maintenance work. For lifting equipment including chains, slings, and mobile elevating work platforms, thorough examinations are conducted every six to twelve months by competent persons, with daily pre-use checks recorded by operators.</w:t>
      </w:r>
    </w:p>
    <w:p w14:paraId="25E634BF" w14:textId="77777777" w:rsidR="006E015B" w:rsidRDefault="00000000">
      <w:pPr>
        <w:spacing w:after="120"/>
      </w:pPr>
      <w:r>
        <w:t>Our vehicle-mounted equipment receives particular attention given the demands of water infrastructure work and grab operations. Each vehicle carries a complete inventory of its equipment, with weekly inspections covering hydraulic systems, PTO units, and specialized attachments. Daily walk-around checks ensure equipment remains secure and operational throughout demanding work cycles.</w:t>
      </w:r>
    </w:p>
    <w:p w14:paraId="0B825211" w14:textId="77777777" w:rsidR="006E015B" w:rsidRDefault="00000000">
      <w:pPr>
        <w:pStyle w:val="Heading2"/>
        <w:spacing w:before="240" w:after="120"/>
      </w:pPr>
      <w:r>
        <w:t>Electrical Equipment Safety</w:t>
      </w:r>
    </w:p>
    <w:p w14:paraId="2192FF04" w14:textId="77777777" w:rsidR="006E015B" w:rsidRDefault="00000000">
      <w:pPr>
        <w:spacing w:after="120"/>
      </w:pPr>
      <w:r>
        <w:t xml:space="preserve">All electrical equipment undergoes portable appliance testing every three months with detailed records maintained. Before each use, operators inspect electrical items for cable damage, plug defects, inadequate joints, loose cable sheathing, contamination, </w:t>
      </w:r>
      <w:proofErr w:type="spellStart"/>
      <w:r>
        <w:t>casing</w:t>
      </w:r>
      <w:proofErr w:type="spellEnd"/>
      <w:r>
        <w:t xml:space="preserve"> damage, and signs of overheating. Any equipment showing these defects is immediately withdrawn from service until professionally repaired or replaced.</w:t>
      </w:r>
    </w:p>
    <w:p w14:paraId="1F4DEFB5" w14:textId="77777777" w:rsidR="006E015B" w:rsidRDefault="00000000">
      <w:pPr>
        <w:spacing w:after="120"/>
      </w:pPr>
      <w:r>
        <w:t>We pay special attention to electrical safety in water industry environments where moisture and contamination risks are elevated. All electrical equipment used in excavations or near water systems meets appropriate IP ratings and includes RCD protection where required.</w:t>
      </w:r>
    </w:p>
    <w:p w14:paraId="0BF1AF86" w14:textId="77777777" w:rsidR="006E015B" w:rsidRDefault="00000000">
      <w:pPr>
        <w:pStyle w:val="Heading2"/>
        <w:spacing w:before="240" w:after="120"/>
      </w:pPr>
      <w:r>
        <w:lastRenderedPageBreak/>
        <w:t>Hired Equipment and Training</w:t>
      </w:r>
    </w:p>
    <w:p w14:paraId="51E76711" w14:textId="77777777" w:rsidR="006E015B" w:rsidRDefault="00000000">
      <w:pPr>
        <w:spacing w:after="120"/>
      </w:pPr>
      <w:r>
        <w:t>When hiring equipment, we verify that suppliers have completed all necessary inspections and testing before delivery. Hire companies must provide operating instructions and training where specialised equipment is involved. Our supervisors inspect all hired equipment upon arrival and before signing acceptance, ensuring it meets our safety standards and is suitable for the intended work.</w:t>
      </w:r>
    </w:p>
    <w:p w14:paraId="3569EAA4" w14:textId="77777777" w:rsidR="006E015B" w:rsidRDefault="00000000">
      <w:pPr>
        <w:pStyle w:val="Heading2"/>
        <w:spacing w:before="240" w:after="120"/>
      </w:pPr>
      <w:r>
        <w:t>Review Clause</w:t>
      </w:r>
    </w:p>
    <w:p w14:paraId="3B5B6BE5" w14:textId="77777777" w:rsidR="006E015B" w:rsidRDefault="00000000">
      <w:pPr>
        <w:spacing w:after="120"/>
      </w:pPr>
      <w:r>
        <w:t>This policy will be reviewed annually by the Directors to ensure it remains effective and continues to maintain safe equipment standards across all company operations.</w:t>
      </w:r>
    </w:p>
    <w:p w14:paraId="3D47139F" w14:textId="77777777" w:rsidR="006E015B" w:rsidRDefault="006E015B">
      <w:pPr>
        <w:spacing w:before="240"/>
      </w:pPr>
    </w:p>
    <w:p w14:paraId="6AC89606" w14:textId="77777777" w:rsidR="006E015B" w:rsidRDefault="00000000">
      <w:pPr>
        <w:spacing w:after="120"/>
      </w:pPr>
      <w:r>
        <w:rPr>
          <w:b/>
          <w:bCs/>
        </w:rPr>
        <w:t>Signed:</w:t>
      </w:r>
    </w:p>
    <w:p w14:paraId="2C304729" w14:textId="77777777" w:rsidR="006E015B" w:rsidRDefault="00000000">
      <w:pPr>
        <w:spacing w:after="40"/>
      </w:pPr>
      <w:r>
        <w:rPr>
          <w:b/>
          <w:bCs/>
        </w:rPr>
        <w:t>Aaron Mason</w:t>
      </w:r>
    </w:p>
    <w:p w14:paraId="5326C7C9" w14:textId="77777777" w:rsidR="006E015B" w:rsidRDefault="00000000">
      <w:pPr>
        <w:spacing w:after="40"/>
      </w:pPr>
      <w:r>
        <w:t>Director</w:t>
      </w:r>
    </w:p>
    <w:p w14:paraId="11CB4656" w14:textId="77777777" w:rsidR="006E015B" w:rsidRDefault="00000000">
      <w:pPr>
        <w:spacing w:after="40"/>
      </w:pPr>
      <w:r>
        <w:t>A M Water Services Ltd</w:t>
      </w:r>
    </w:p>
    <w:p w14:paraId="3E55FC54" w14:textId="077A9E8C" w:rsidR="006E29D5" w:rsidRDefault="00000000" w:rsidP="006E29D5">
      <w:r>
        <w:t>1st July 2025</w:t>
      </w:r>
    </w:p>
    <w:p w14:paraId="53CFFC7C" w14:textId="41ED266F" w:rsidR="006E015B" w:rsidRDefault="006E015B"/>
    <w:sectPr w:rsidR="006E015B">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BBD20" w14:textId="77777777" w:rsidR="009E24B4" w:rsidRDefault="009E24B4" w:rsidP="006E29D5">
      <w:r>
        <w:separator/>
      </w:r>
    </w:p>
  </w:endnote>
  <w:endnote w:type="continuationSeparator" w:id="0">
    <w:p w14:paraId="61AD4EA2" w14:textId="77777777" w:rsidR="009E24B4" w:rsidRDefault="009E24B4" w:rsidP="006E2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6" w:name="_Hlk219903482" w:displacedByCustomXml="next"/>
  <w:bookmarkStart w:id="37" w:name="OLE_LINK54" w:displacedByCustomXml="next"/>
  <w:bookmarkStart w:id="38" w:name="OLE_LINK53" w:displacedByCustomXml="next"/>
  <w:bookmarkStart w:id="39" w:name="_Hlk219903432" w:displacedByCustomXml="next"/>
  <w:bookmarkStart w:id="40" w:name="OLE_LINK50" w:displacedByCustomXml="next"/>
  <w:bookmarkStart w:id="41" w:name="OLE_LINK49" w:displacedByCustomXml="next"/>
  <w:bookmarkStart w:id="42" w:name="_Hlk219903347" w:displacedByCustomXml="next"/>
  <w:bookmarkStart w:id="43" w:name="OLE_LINK44" w:displacedByCustomXml="next"/>
  <w:bookmarkStart w:id="44" w:name="OLE_LINK43" w:displacedByCustomXml="next"/>
  <w:bookmarkStart w:id="45" w:name="_Hlk219903319" w:displacedByCustomXml="next"/>
  <w:bookmarkStart w:id="46" w:name="OLE_LINK40" w:displacedByCustomXml="next"/>
  <w:bookmarkStart w:id="47" w:name="OLE_LINK39" w:displacedByCustomXml="next"/>
  <w:bookmarkStart w:id="48" w:name="_Hlk219903285" w:displacedByCustomXml="next"/>
  <w:bookmarkStart w:id="49" w:name="OLE_LINK36" w:displacedByCustomXml="next"/>
  <w:bookmarkStart w:id="50" w:name="OLE_LINK35" w:displacedByCustomXml="next"/>
  <w:bookmarkStart w:id="51" w:name="_Hlk219903237" w:displacedByCustomXml="next"/>
  <w:bookmarkStart w:id="52" w:name="OLE_LINK32" w:displacedByCustomXml="next"/>
  <w:bookmarkStart w:id="53" w:name="OLE_LINK31" w:displacedByCustomXml="next"/>
  <w:bookmarkStart w:id="54" w:name="_Hlk219903185" w:displacedByCustomXml="next"/>
  <w:bookmarkStart w:id="55" w:name="OLE_LINK28" w:displacedByCustomXml="next"/>
  <w:bookmarkStart w:id="56" w:name="OLE_LINK27" w:displacedByCustomXml="next"/>
  <w:bookmarkStart w:id="57" w:name="_Hlk219903139" w:displacedByCustomXml="next"/>
  <w:bookmarkStart w:id="58" w:name="OLE_LINK24" w:displacedByCustomXml="next"/>
  <w:bookmarkStart w:id="59" w:name="OLE_LINK23" w:displacedByCustomXml="next"/>
  <w:bookmarkStart w:id="60" w:name="_Hlk219903062" w:displacedByCustomXml="next"/>
  <w:bookmarkStart w:id="61" w:name="OLE_LINK20" w:displacedByCustomXml="next"/>
  <w:bookmarkStart w:id="62" w:name="OLE_LINK19" w:displacedByCustomXml="next"/>
  <w:bookmarkStart w:id="63" w:name="_Hlk219903009" w:displacedByCustomXml="next"/>
  <w:bookmarkStart w:id="64" w:name="OLE_LINK16" w:displacedByCustomXml="next"/>
  <w:bookmarkStart w:id="65" w:name="OLE_LINK15" w:displacedByCustomXml="next"/>
  <w:bookmarkStart w:id="66" w:name="_Hlk219902920" w:displacedByCustomXml="next"/>
  <w:bookmarkStart w:id="67" w:name="OLE_LINK12" w:displacedByCustomXml="next"/>
  <w:bookmarkStart w:id="68" w:name="OLE_LINK11" w:displacedByCustomXml="next"/>
  <w:sdt>
    <w:sdtPr>
      <w:rPr>
        <w:rStyle w:val="PageNumber"/>
      </w:rPr>
      <w:id w:val="-157921668"/>
      <w:docPartObj>
        <w:docPartGallery w:val="Page Numbers (Bottom of Page)"/>
        <w:docPartUnique/>
      </w:docPartObj>
    </w:sdtPr>
    <w:sdtContent>
      <w:p w14:paraId="03FC8532" w14:textId="77777777" w:rsidR="006E29D5" w:rsidRDefault="006E29D5" w:rsidP="006E29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sdtContent>
  </w:sdt>
  <w:p w14:paraId="3FB2ABB2" w14:textId="15D5880C" w:rsidR="006E29D5" w:rsidRDefault="006E29D5" w:rsidP="006E29D5">
    <w:pPr>
      <w:pStyle w:val="FirstParagraph"/>
      <w:ind w:right="360"/>
    </w:pPr>
    <w:r>
      <w:t>Document Reference: POL_HSQE_</w:t>
    </w:r>
    <w:r>
      <w:t>12</w:t>
    </w:r>
    <w:r>
      <w:t xml:space="preserve"> | Revision: 3 | Date: 1st July 2025</w:t>
    </w:r>
    <w:r>
      <w:br/>
      <w:t>Next Review: 1st July 2026 | Uncontrolled when printed</w:t>
    </w:r>
    <w:bookmarkEnd w:id="68"/>
    <w:bookmarkEnd w:id="67"/>
    <w:bookmarkEnd w:id="66"/>
    <w:bookmarkEnd w:id="65"/>
    <w:bookmarkEnd w:id="64"/>
    <w:bookmarkEnd w:id="63"/>
    <w:bookmarkEnd w:id="62"/>
    <w:bookmarkEnd w:id="61"/>
    <w:bookmarkEnd w:id="60"/>
    <w:bookmarkEnd w:id="59"/>
    <w:bookmarkEnd w:id="58"/>
    <w:bookmarkEnd w:id="57"/>
    <w:bookmarkEnd w:id="56"/>
    <w:bookmarkEnd w:id="55"/>
    <w:bookmarkEnd w:id="54"/>
    <w:bookmarkEnd w:id="53"/>
    <w:bookmarkEnd w:id="52"/>
    <w:bookmarkEnd w:id="51"/>
    <w:bookmarkEnd w:id="50"/>
    <w:bookmarkEnd w:id="49"/>
    <w:bookmarkEnd w:id="48"/>
    <w:bookmarkEnd w:id="47"/>
    <w:bookmarkEnd w:id="46"/>
    <w:bookmarkEnd w:id="45"/>
    <w:bookmarkEnd w:id="44"/>
    <w:bookmarkEnd w:id="43"/>
    <w:bookmarkEnd w:id="42"/>
    <w:bookmarkEnd w:id="41"/>
    <w:bookmarkEnd w:id="40"/>
    <w:bookmarkEnd w:id="39"/>
    <w:bookmarkEnd w:id="38"/>
    <w:bookmarkEnd w:id="37"/>
    <w:bookmarkEnd w:id="3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13A7B" w14:textId="77777777" w:rsidR="009E24B4" w:rsidRDefault="009E24B4" w:rsidP="006E29D5">
      <w:r>
        <w:separator/>
      </w:r>
    </w:p>
  </w:footnote>
  <w:footnote w:type="continuationSeparator" w:id="0">
    <w:p w14:paraId="3C9238F1" w14:textId="77777777" w:rsidR="009E24B4" w:rsidRDefault="009E24B4" w:rsidP="006E2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74B7" w14:textId="77777777" w:rsidR="006E29D5" w:rsidRPr="001A76A4" w:rsidRDefault="006E29D5" w:rsidP="006E29D5">
    <w:pPr>
      <w:pStyle w:val="Header"/>
    </w:pPr>
    <w:bookmarkStart w:id="0" w:name="OLE_LINK9"/>
    <w:bookmarkStart w:id="1" w:name="OLE_LINK10"/>
    <w:bookmarkStart w:id="2" w:name="_Hlk219902909"/>
    <w:bookmarkStart w:id="3" w:name="OLE_LINK13"/>
    <w:bookmarkStart w:id="4" w:name="OLE_LINK14"/>
    <w:bookmarkStart w:id="5" w:name="_Hlk219902997"/>
    <w:bookmarkStart w:id="6" w:name="OLE_LINK17"/>
    <w:bookmarkStart w:id="7" w:name="OLE_LINK18"/>
    <w:bookmarkStart w:id="8" w:name="_Hlk219903051"/>
    <w:bookmarkStart w:id="9" w:name="OLE_LINK21"/>
    <w:bookmarkStart w:id="10" w:name="OLE_LINK22"/>
    <w:bookmarkStart w:id="11" w:name="_Hlk219903115"/>
    <w:bookmarkStart w:id="12" w:name="OLE_LINK25"/>
    <w:bookmarkStart w:id="13" w:name="OLE_LINK26"/>
    <w:bookmarkStart w:id="14" w:name="_Hlk219903178"/>
    <w:bookmarkStart w:id="15" w:name="OLE_LINK29"/>
    <w:bookmarkStart w:id="16" w:name="OLE_LINK30"/>
    <w:bookmarkStart w:id="17" w:name="_Hlk219903232"/>
    <w:bookmarkStart w:id="18" w:name="OLE_LINK33"/>
    <w:bookmarkStart w:id="19" w:name="OLE_LINK34"/>
    <w:bookmarkStart w:id="20" w:name="_Hlk219903271"/>
    <w:bookmarkStart w:id="21" w:name="OLE_LINK37"/>
    <w:bookmarkStart w:id="22" w:name="OLE_LINK38"/>
    <w:bookmarkStart w:id="23" w:name="_Hlk219903306"/>
    <w:bookmarkStart w:id="24" w:name="OLE_LINK41"/>
    <w:bookmarkStart w:id="25" w:name="OLE_LINK42"/>
    <w:bookmarkStart w:id="26" w:name="_Hlk219903338"/>
    <w:bookmarkStart w:id="27" w:name="OLE_LINK45"/>
    <w:bookmarkStart w:id="28" w:name="OLE_LINK46"/>
    <w:bookmarkStart w:id="29" w:name="_Hlk219903378"/>
    <w:bookmarkStart w:id="30" w:name="OLE_LINK47"/>
    <w:bookmarkStart w:id="31" w:name="OLE_LINK48"/>
    <w:bookmarkStart w:id="32" w:name="_Hlk219903426"/>
    <w:bookmarkStart w:id="33" w:name="OLE_LINK51"/>
    <w:bookmarkStart w:id="34" w:name="OLE_LINK52"/>
    <w:bookmarkStart w:id="35" w:name="_Hlk219903467"/>
    <w:r>
      <w:tab/>
    </w:r>
    <w:r>
      <w:rPr>
        <w:noProof/>
      </w:rPr>
      <w:drawing>
        <wp:inline distT="0" distB="0" distL="0" distR="0" wp14:anchorId="16DC8BB5" wp14:editId="25E85CDF">
          <wp:extent cx="1437740" cy="547200"/>
          <wp:effectExtent l="0" t="0" r="0" b="0"/>
          <wp:docPr id="1033883017" name="Picture 1" descr="A blue lett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83017" name="Picture 1" descr="A blue letter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7740" cy="547200"/>
                  </a:xfrm>
                  <a:prstGeom prst="rect">
                    <a:avLst/>
                  </a:prstGeom>
                </pic:spPr>
              </pic:pic>
            </a:graphicData>
          </a:graphic>
        </wp:inline>
      </w:drawing>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14:paraId="118AD459" w14:textId="77777777" w:rsidR="006E29D5" w:rsidRDefault="006E2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55F75"/>
    <w:multiLevelType w:val="hybridMultilevel"/>
    <w:tmpl w:val="AB6AAE9E"/>
    <w:lvl w:ilvl="0" w:tplc="8872E5CA">
      <w:start w:val="1"/>
      <w:numFmt w:val="bullet"/>
      <w:lvlText w:val="•"/>
      <w:lvlJc w:val="left"/>
      <w:pPr>
        <w:ind w:left="720" w:hanging="360"/>
      </w:pPr>
    </w:lvl>
    <w:lvl w:ilvl="1" w:tplc="15C476B6">
      <w:numFmt w:val="decimal"/>
      <w:lvlText w:val=""/>
      <w:lvlJc w:val="left"/>
    </w:lvl>
    <w:lvl w:ilvl="2" w:tplc="B28A02E4">
      <w:numFmt w:val="decimal"/>
      <w:lvlText w:val=""/>
      <w:lvlJc w:val="left"/>
    </w:lvl>
    <w:lvl w:ilvl="3" w:tplc="2D14AC7A">
      <w:numFmt w:val="decimal"/>
      <w:lvlText w:val=""/>
      <w:lvlJc w:val="left"/>
    </w:lvl>
    <w:lvl w:ilvl="4" w:tplc="39969F32">
      <w:numFmt w:val="decimal"/>
      <w:lvlText w:val=""/>
      <w:lvlJc w:val="left"/>
    </w:lvl>
    <w:lvl w:ilvl="5" w:tplc="CA4ECD40">
      <w:numFmt w:val="decimal"/>
      <w:lvlText w:val=""/>
      <w:lvlJc w:val="left"/>
    </w:lvl>
    <w:lvl w:ilvl="6" w:tplc="B17087E4">
      <w:numFmt w:val="decimal"/>
      <w:lvlText w:val=""/>
      <w:lvlJc w:val="left"/>
    </w:lvl>
    <w:lvl w:ilvl="7" w:tplc="C5866336">
      <w:numFmt w:val="decimal"/>
      <w:lvlText w:val=""/>
      <w:lvlJc w:val="left"/>
    </w:lvl>
    <w:lvl w:ilvl="8" w:tplc="7C7C3578">
      <w:numFmt w:val="decimal"/>
      <w:lvlText w:val=""/>
      <w:lvlJc w:val="left"/>
    </w:lvl>
  </w:abstractNum>
  <w:abstractNum w:abstractNumId="1" w15:restartNumberingAfterBreak="0">
    <w:nsid w:val="2DA438A4"/>
    <w:multiLevelType w:val="hybridMultilevel"/>
    <w:tmpl w:val="7632D0B4"/>
    <w:lvl w:ilvl="0" w:tplc="2A10FF5A">
      <w:start w:val="1"/>
      <w:numFmt w:val="bullet"/>
      <w:lvlText w:val="●"/>
      <w:lvlJc w:val="left"/>
      <w:pPr>
        <w:ind w:left="720" w:hanging="360"/>
      </w:pPr>
    </w:lvl>
    <w:lvl w:ilvl="1" w:tplc="A6FE130E">
      <w:start w:val="1"/>
      <w:numFmt w:val="bullet"/>
      <w:lvlText w:val="○"/>
      <w:lvlJc w:val="left"/>
      <w:pPr>
        <w:ind w:left="1440" w:hanging="360"/>
      </w:pPr>
    </w:lvl>
    <w:lvl w:ilvl="2" w:tplc="6F440B7C">
      <w:start w:val="1"/>
      <w:numFmt w:val="bullet"/>
      <w:lvlText w:val="■"/>
      <w:lvlJc w:val="left"/>
      <w:pPr>
        <w:ind w:left="2160" w:hanging="360"/>
      </w:pPr>
    </w:lvl>
    <w:lvl w:ilvl="3" w:tplc="190EB540">
      <w:start w:val="1"/>
      <w:numFmt w:val="bullet"/>
      <w:lvlText w:val="●"/>
      <w:lvlJc w:val="left"/>
      <w:pPr>
        <w:ind w:left="2880" w:hanging="360"/>
      </w:pPr>
    </w:lvl>
    <w:lvl w:ilvl="4" w:tplc="F6CC9FDE">
      <w:start w:val="1"/>
      <w:numFmt w:val="bullet"/>
      <w:lvlText w:val="○"/>
      <w:lvlJc w:val="left"/>
      <w:pPr>
        <w:ind w:left="3600" w:hanging="360"/>
      </w:pPr>
    </w:lvl>
    <w:lvl w:ilvl="5" w:tplc="844E19E0">
      <w:start w:val="1"/>
      <w:numFmt w:val="bullet"/>
      <w:lvlText w:val="■"/>
      <w:lvlJc w:val="left"/>
      <w:pPr>
        <w:ind w:left="4320" w:hanging="360"/>
      </w:pPr>
    </w:lvl>
    <w:lvl w:ilvl="6" w:tplc="ED822BF6">
      <w:start w:val="1"/>
      <w:numFmt w:val="bullet"/>
      <w:lvlText w:val="●"/>
      <w:lvlJc w:val="left"/>
      <w:pPr>
        <w:ind w:left="5040" w:hanging="360"/>
      </w:pPr>
    </w:lvl>
    <w:lvl w:ilvl="7" w:tplc="FEEE739C">
      <w:start w:val="1"/>
      <w:numFmt w:val="bullet"/>
      <w:lvlText w:val="●"/>
      <w:lvlJc w:val="left"/>
      <w:pPr>
        <w:ind w:left="5760" w:hanging="360"/>
      </w:pPr>
    </w:lvl>
    <w:lvl w:ilvl="8" w:tplc="88FE216E">
      <w:start w:val="1"/>
      <w:numFmt w:val="bullet"/>
      <w:lvlText w:val="●"/>
      <w:lvlJc w:val="left"/>
      <w:pPr>
        <w:ind w:left="6480" w:hanging="360"/>
      </w:pPr>
    </w:lvl>
  </w:abstractNum>
  <w:num w:numId="1" w16cid:durableId="117834702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15B"/>
    <w:rsid w:val="006E015B"/>
    <w:rsid w:val="006E29D5"/>
    <w:rsid w:val="009E24B4"/>
    <w:rsid w:val="00E52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F97B12F"/>
  <w15:docId w15:val="{CB497C12-4209-3745-94D1-BCC4C0FB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2E74B5"/>
      <w:sz w:val="36"/>
      <w:szCs w:val="36"/>
    </w:rPr>
  </w:style>
  <w:style w:type="paragraph" w:styleId="Heading2">
    <w:name w:val="heading 2"/>
    <w:uiPriority w:val="9"/>
    <w:unhideWhenUsed/>
    <w:qFormat/>
    <w:pPr>
      <w:spacing w:before="200" w:after="80"/>
      <w:outlineLvl w:val="1"/>
    </w:pPr>
    <w:rPr>
      <w:b/>
      <w:bCs/>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nhideWhenUsed/>
    <w:rsid w:val="006E29D5"/>
    <w:pPr>
      <w:tabs>
        <w:tab w:val="center" w:pos="4513"/>
        <w:tab w:val="right" w:pos="9026"/>
      </w:tabs>
    </w:pPr>
  </w:style>
  <w:style w:type="character" w:customStyle="1" w:styleId="HeaderChar">
    <w:name w:val="Header Char"/>
    <w:basedOn w:val="DefaultParagraphFont"/>
    <w:link w:val="Header"/>
    <w:rsid w:val="006E29D5"/>
  </w:style>
  <w:style w:type="paragraph" w:styleId="Footer">
    <w:name w:val="footer"/>
    <w:basedOn w:val="Normal"/>
    <w:link w:val="FooterChar"/>
    <w:unhideWhenUsed/>
    <w:rsid w:val="006E29D5"/>
    <w:pPr>
      <w:tabs>
        <w:tab w:val="center" w:pos="4513"/>
        <w:tab w:val="right" w:pos="9026"/>
      </w:tabs>
    </w:pPr>
  </w:style>
  <w:style w:type="character" w:customStyle="1" w:styleId="FooterChar">
    <w:name w:val="Footer Char"/>
    <w:basedOn w:val="DefaultParagraphFont"/>
    <w:link w:val="Footer"/>
    <w:rsid w:val="006E29D5"/>
  </w:style>
  <w:style w:type="paragraph" w:customStyle="1" w:styleId="FirstParagraph">
    <w:name w:val="First Paragraph"/>
    <w:basedOn w:val="BodyText"/>
    <w:next w:val="BodyText"/>
    <w:qFormat/>
    <w:rsid w:val="006E29D5"/>
    <w:pPr>
      <w:spacing w:before="180" w:after="180"/>
    </w:pPr>
    <w:rPr>
      <w:rFonts w:asciiTheme="minorHAnsi" w:eastAsiaTheme="minorHAnsi" w:hAnsiTheme="minorHAnsi" w:cstheme="minorBidi"/>
      <w:sz w:val="24"/>
      <w:szCs w:val="24"/>
      <w:lang w:val="en-US" w:eastAsia="en-US"/>
    </w:rPr>
  </w:style>
  <w:style w:type="character" w:styleId="PageNumber">
    <w:name w:val="page number"/>
    <w:basedOn w:val="DefaultParagraphFont"/>
    <w:rsid w:val="006E29D5"/>
  </w:style>
  <w:style w:type="paragraph" w:styleId="BodyText">
    <w:name w:val="Body Text"/>
    <w:basedOn w:val="Normal"/>
    <w:link w:val="BodyTextChar"/>
    <w:uiPriority w:val="99"/>
    <w:semiHidden/>
    <w:unhideWhenUsed/>
    <w:rsid w:val="006E29D5"/>
    <w:pPr>
      <w:spacing w:after="120"/>
    </w:pPr>
  </w:style>
  <w:style w:type="character" w:customStyle="1" w:styleId="BodyTextChar">
    <w:name w:val="Body Text Char"/>
    <w:basedOn w:val="DefaultParagraphFont"/>
    <w:link w:val="BodyText"/>
    <w:uiPriority w:val="99"/>
    <w:semiHidden/>
    <w:rsid w:val="006E2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05488F2C8294E8B9DB7FC1556790D" ma:contentTypeVersion="18" ma:contentTypeDescription="Create a new document." ma:contentTypeScope="" ma:versionID="8f83af00abe934257372014a506ddfdc">
  <xsd:schema xmlns:xsd="http://www.w3.org/2001/XMLSchema" xmlns:xs="http://www.w3.org/2001/XMLSchema" xmlns:p="http://schemas.microsoft.com/office/2006/metadata/properties" xmlns:ns2="b127f04f-e2db-402c-9642-b359ae0b755c" xmlns:ns3="f3751fdd-ed97-4cf6-ae5b-8f2c94105c7c" targetNamespace="http://schemas.microsoft.com/office/2006/metadata/properties" ma:root="true" ma:fieldsID="38e3a60ec93e14ed675d65f2bf8ec894" ns2:_="" ns3:_="">
    <xsd:import namespace="b127f04f-e2db-402c-9642-b359ae0b755c"/>
    <xsd:import namespace="f3751fdd-ed97-4cf6-ae5b-8f2c94105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7f04f-e2db-402c-9642-b359ae0b7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1fadb5-81be-487b-866c-b97f84e5bb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51fdd-ed97-4cf6-ae5b-8f2c94105c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5db31a6-461d-45da-afc0-54e32a18f34c}" ma:internalName="TaxCatchAll" ma:showField="CatchAllData" ma:web="f3751fdd-ed97-4cf6-ae5b-8f2c94105c7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751fdd-ed97-4cf6-ae5b-8f2c94105c7c" xsi:nil="true"/>
    <lcf76f155ced4ddcb4097134ff3c332f xmlns="b127f04f-e2db-402c-9642-b359ae0b75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F5CAD8-BAC4-4A71-AFBB-9DED5251F858}"/>
</file>

<file path=customXml/itemProps2.xml><?xml version="1.0" encoding="utf-8"?>
<ds:datastoreItem xmlns:ds="http://schemas.openxmlformats.org/officeDocument/2006/customXml" ds:itemID="{419928F8-75AA-4373-95A1-A873B0460979}"/>
</file>

<file path=customXml/itemProps3.xml><?xml version="1.0" encoding="utf-8"?>
<ds:datastoreItem xmlns:ds="http://schemas.openxmlformats.org/officeDocument/2006/customXml" ds:itemID="{0E15C5BE-BC69-4658-8204-6CBA59E87AE2}"/>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3014</Characters>
  <Application>Microsoft Office Word</Application>
  <DocSecurity>0</DocSecurity>
  <Lines>25</Lines>
  <Paragraphs>7</Paragraphs>
  <ScaleCrop>false</ScaleCrop>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Sean Ashton</cp:lastModifiedBy>
  <cp:revision>2</cp:revision>
  <dcterms:created xsi:type="dcterms:W3CDTF">2026-01-21T15:43:00Z</dcterms:created>
  <dcterms:modified xsi:type="dcterms:W3CDTF">2026-01-21T15:58:00Z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0x0101006CC05488F2C8294E8B9DB7FC1556790D</vt:lpwstr>
  </property>
</Properties>
</file>