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EF37" w14:textId="77777777" w:rsidR="002D2078" w:rsidRDefault="00000000">
      <w:pPr>
        <w:pStyle w:val="Heading1"/>
        <w:spacing w:after="200"/>
      </w:pPr>
      <w:r>
        <w:t>GRIEVANCE POLICY</w:t>
      </w:r>
    </w:p>
    <w:p w14:paraId="4110DB76" w14:textId="77777777" w:rsidR="002D2078" w:rsidRDefault="00000000">
      <w:pPr>
        <w:pStyle w:val="Heading2"/>
        <w:spacing w:before="240" w:after="120"/>
      </w:pPr>
      <w:r>
        <w:t>Purpose</w:t>
      </w:r>
    </w:p>
    <w:p w14:paraId="3EC00679" w14:textId="77777777" w:rsidR="002D2078" w:rsidRDefault="00000000">
      <w:pPr>
        <w:spacing w:after="120"/>
      </w:pPr>
      <w:r>
        <w:t>A M Water Services Ltd is committed to providing a fair and productive work environment where concerns are addressed promptly and professionally. This policy ensures all employees have a clear process to raise grievances and have them resolved fairly.</w:t>
      </w:r>
    </w:p>
    <w:p w14:paraId="67C52A2B" w14:textId="77777777" w:rsidR="002D2078" w:rsidRDefault="00000000">
      <w:pPr>
        <w:pStyle w:val="Heading2"/>
        <w:spacing w:before="240" w:after="120"/>
      </w:pPr>
      <w:r>
        <w:t>Scope</w:t>
      </w:r>
    </w:p>
    <w:p w14:paraId="11EFA823" w14:textId="77777777" w:rsidR="002D2078" w:rsidRDefault="00000000">
      <w:pPr>
        <w:spacing w:after="120"/>
      </w:pPr>
      <w:r>
        <w:t>This policy applies to all employees, directors, contractors, and agency workers of A M Water Services Ltd, whether working at our Northampton headquarters, on water infrastructure sites, or operating grab vehicles.</w:t>
      </w:r>
    </w:p>
    <w:p w14:paraId="32120B80" w14:textId="77777777" w:rsidR="002D2078" w:rsidRDefault="00000000">
      <w:pPr>
        <w:pStyle w:val="Heading2"/>
        <w:spacing w:before="240" w:after="120"/>
      </w:pPr>
      <w:r>
        <w:t>Legal Requirements</w:t>
      </w:r>
    </w:p>
    <w:p w14:paraId="794FFD98" w14:textId="77777777" w:rsidR="002D2078" w:rsidRDefault="00000000">
      <w:pPr>
        <w:spacing w:after="120"/>
      </w:pPr>
      <w:r>
        <w:t>This policy ensures compliance with the Employment Rights Act 1996, ACAS Code of Practice on Disciplinary and Grievance Procedures, and the Equality Act 2010.</w:t>
      </w:r>
    </w:p>
    <w:p w14:paraId="0CC0B718" w14:textId="77777777" w:rsidR="002D2078" w:rsidRDefault="00000000">
      <w:pPr>
        <w:pStyle w:val="Heading2"/>
        <w:spacing w:before="240" w:after="120"/>
      </w:pPr>
      <w:r>
        <w:t>Policy Statement</w:t>
      </w:r>
    </w:p>
    <w:p w14:paraId="583CC565" w14:textId="77777777" w:rsidR="002D2078" w:rsidRDefault="00000000">
      <w:pPr>
        <w:spacing w:after="120"/>
      </w:pPr>
      <w:r>
        <w:t>We recognize that workplace concerns can arise despite our best efforts to maintain positive working relationships. Our "#TEAM" philosophy means we take all grievances seriously and handle them with respect and confidentiality. Whether you're concerned about working conditions on site, safety procedures during excavations, treatment by colleagues, or management decisions, we want to hear from you and resolve matters promptly.</w:t>
      </w:r>
    </w:p>
    <w:p w14:paraId="2E6D9DF1" w14:textId="77777777" w:rsidR="002D2078" w:rsidRDefault="00000000">
      <w:pPr>
        <w:spacing w:after="120"/>
      </w:pPr>
      <w:r>
        <w:t xml:space="preserve">The grievance procedure works in stages to ensure fair resolution. Initially, we encourage you to raise concerns informally with your immediate </w:t>
      </w:r>
      <w:proofErr w:type="gramStart"/>
      <w:r>
        <w:t>supervisor</w:t>
      </w:r>
      <w:proofErr w:type="gramEnd"/>
      <w:r>
        <w:t xml:space="preserve"> when possible, as many issues can be resolved through open discussion. Choose an appropriate time and place where your supervisor can give you their full attention. If informal resolution isn't possible or hasn't worked, you should submit your grievance in writing, clearly explaining the issue, who's involved, and any solution you'd suggest.</w:t>
      </w:r>
    </w:p>
    <w:p w14:paraId="3E50EFC2" w14:textId="77777777" w:rsidR="002D2078" w:rsidRDefault="00000000">
      <w:pPr>
        <w:spacing w:after="120"/>
      </w:pPr>
      <w:r>
        <w:t>Your written grievance will receive a response within five working days. If your supervisor is part of the problem, or you're not satisfied with their response, you can escalate to the next management level. We'll arrange meetings to discuss your concerns, either with you alone or including your supervisor as appropriate. For urgent matters involving safety, legal compliance, or ethical concerns - such as unsafe excavation practices or equipment failures - you should expedite the process by immediately contacting senior management.</w:t>
      </w:r>
    </w:p>
    <w:p w14:paraId="420AAAB6" w14:textId="77777777" w:rsidR="002D2078" w:rsidRDefault="00000000">
      <w:pPr>
        <w:pStyle w:val="Heading2"/>
        <w:spacing w:before="240" w:after="120"/>
      </w:pPr>
      <w:r>
        <w:t>Implementation and Monitoring</w:t>
      </w:r>
    </w:p>
    <w:p w14:paraId="2E43DBAA" w14:textId="77777777" w:rsidR="002D2078" w:rsidRDefault="00000000">
      <w:pPr>
        <w:spacing w:after="120"/>
      </w:pPr>
      <w:r>
        <w:t>All grievances are logged and monitored by senior management to identify patterns and prevent recurring issues. We maintain strict confidentiality throughout the process, sharing information only with those who need to know to investigate and resolve the matter. Employees raising genuine grievances in good faith are protected from any form of retaliation or victimization. Training on the grievance procedure is provided during induction and refreshed annually through toolbox talks.</w:t>
      </w:r>
    </w:p>
    <w:p w14:paraId="03DAE21C" w14:textId="77777777" w:rsidR="000D1EE2" w:rsidRDefault="000D1EE2">
      <w:pPr>
        <w:spacing w:after="120"/>
      </w:pPr>
    </w:p>
    <w:p w14:paraId="3091CE41" w14:textId="77777777" w:rsidR="000D1EE2" w:rsidRDefault="000D1EE2">
      <w:pPr>
        <w:spacing w:after="120"/>
      </w:pPr>
    </w:p>
    <w:p w14:paraId="42DE3463" w14:textId="77777777" w:rsidR="000D1EE2" w:rsidRDefault="000D1EE2">
      <w:pPr>
        <w:spacing w:after="120"/>
      </w:pPr>
    </w:p>
    <w:p w14:paraId="7C4ED089" w14:textId="77777777" w:rsidR="002D2078" w:rsidRDefault="00000000">
      <w:pPr>
        <w:pStyle w:val="Heading2"/>
        <w:spacing w:before="240" w:after="120"/>
      </w:pPr>
      <w:r>
        <w:lastRenderedPageBreak/>
        <w:t>Responsibilities</w:t>
      </w:r>
    </w:p>
    <w:p w14:paraId="76A3186B" w14:textId="77777777" w:rsidR="002D2078" w:rsidRDefault="00000000">
      <w:pPr>
        <w:spacing w:after="120"/>
      </w:pPr>
      <w:r>
        <w:t xml:space="preserve">Directors ensure this policy is properly implemented and that adequate resources are available for thorough investigations. Managers and supervisors must take all grievances seriously, respond within specified timeframes, and maintain complete confidentiality. All employees should attempt informal resolution where appropriate before escalating concerns, provide clear and honest information when raising </w:t>
      </w:r>
      <w:proofErr w:type="gramStart"/>
      <w:r>
        <w:t>grievances, and</w:t>
      </w:r>
      <w:proofErr w:type="gramEnd"/>
      <w:r>
        <w:t xml:space="preserve"> respect the confidentiality of ongoing proceedings.</w:t>
      </w:r>
    </w:p>
    <w:p w14:paraId="69ECBC6D" w14:textId="77777777" w:rsidR="002D2078" w:rsidRDefault="00000000">
      <w:pPr>
        <w:pStyle w:val="Heading2"/>
        <w:spacing w:before="240" w:after="120"/>
      </w:pPr>
      <w:r>
        <w:t>Review</w:t>
      </w:r>
    </w:p>
    <w:p w14:paraId="3A058FAB" w14:textId="77777777" w:rsidR="002D2078" w:rsidRDefault="00000000">
      <w:pPr>
        <w:spacing w:after="120"/>
      </w:pPr>
      <w:r>
        <w:t>This policy will be reviewed annually by the Directors to ensure it remains effective and continues to provide fair resolution of workplace concerns while maintaining positive working relationships.</w:t>
      </w:r>
    </w:p>
    <w:p w14:paraId="02656672" w14:textId="77777777" w:rsidR="002D2078" w:rsidRDefault="002D2078">
      <w:pPr>
        <w:spacing w:before="240"/>
      </w:pPr>
    </w:p>
    <w:p w14:paraId="0717D64B" w14:textId="77777777" w:rsidR="002D2078" w:rsidRDefault="00000000">
      <w:pPr>
        <w:spacing w:after="120"/>
      </w:pPr>
      <w:r>
        <w:rPr>
          <w:b/>
          <w:bCs/>
        </w:rPr>
        <w:t>Signed:</w:t>
      </w:r>
    </w:p>
    <w:p w14:paraId="3884BB8A" w14:textId="77777777" w:rsidR="002D2078" w:rsidRDefault="00000000">
      <w:pPr>
        <w:spacing w:after="40"/>
      </w:pPr>
      <w:r>
        <w:rPr>
          <w:b/>
          <w:bCs/>
        </w:rPr>
        <w:t>Aaron Mason</w:t>
      </w:r>
    </w:p>
    <w:p w14:paraId="571B61C2" w14:textId="77777777" w:rsidR="002D2078" w:rsidRDefault="00000000">
      <w:pPr>
        <w:spacing w:after="40"/>
      </w:pPr>
      <w:r>
        <w:t>Director</w:t>
      </w:r>
    </w:p>
    <w:p w14:paraId="508228B7" w14:textId="77777777" w:rsidR="002D2078" w:rsidRDefault="00000000">
      <w:pPr>
        <w:spacing w:after="40"/>
      </w:pPr>
      <w:r>
        <w:t>A M Water Services Ltd</w:t>
      </w:r>
    </w:p>
    <w:p w14:paraId="2C60DB22" w14:textId="44DC7255" w:rsidR="000D1EE2" w:rsidRDefault="00000000" w:rsidP="000D1EE2">
      <w:r>
        <w:t>1st July 2025</w:t>
      </w:r>
    </w:p>
    <w:p w14:paraId="6ED0E5DF" w14:textId="236BC025" w:rsidR="002D2078" w:rsidRDefault="002D2078"/>
    <w:sectPr w:rsidR="002D2078">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7400" w14:textId="77777777" w:rsidR="005130D7" w:rsidRDefault="005130D7" w:rsidP="000D1EE2">
      <w:r>
        <w:separator/>
      </w:r>
    </w:p>
  </w:endnote>
  <w:endnote w:type="continuationSeparator" w:id="0">
    <w:p w14:paraId="10B6EF90" w14:textId="77777777" w:rsidR="005130D7" w:rsidRDefault="005130D7" w:rsidP="000D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5" w:name="_Hlk219903600" w:displacedByCustomXml="next"/>
  <w:bookmarkStart w:id="46" w:name="OLE_LINK66" w:displacedByCustomXml="next"/>
  <w:bookmarkStart w:id="47" w:name="OLE_LINK65" w:displacedByCustomXml="next"/>
  <w:bookmarkStart w:id="48" w:name="_Hlk219903549" w:displacedByCustomXml="next"/>
  <w:bookmarkStart w:id="49" w:name="OLE_LINK62" w:displacedByCustomXml="next"/>
  <w:bookmarkStart w:id="50" w:name="OLE_LINK61" w:displacedByCustomXml="next"/>
  <w:bookmarkStart w:id="51" w:name="_Hlk219903515" w:displacedByCustomXml="next"/>
  <w:bookmarkStart w:id="52" w:name="OLE_LINK58" w:displacedByCustomXml="next"/>
  <w:bookmarkStart w:id="53" w:name="OLE_LINK57" w:displacedByCustomXml="next"/>
  <w:bookmarkStart w:id="54" w:name="_Hlk219903482" w:displacedByCustomXml="next"/>
  <w:bookmarkStart w:id="55" w:name="OLE_LINK54" w:displacedByCustomXml="next"/>
  <w:bookmarkStart w:id="56" w:name="OLE_LINK53" w:displacedByCustomXml="next"/>
  <w:bookmarkStart w:id="57" w:name="_Hlk219903432" w:displacedByCustomXml="next"/>
  <w:bookmarkStart w:id="58" w:name="OLE_LINK50" w:displacedByCustomXml="next"/>
  <w:bookmarkStart w:id="59" w:name="OLE_LINK49" w:displacedByCustomXml="next"/>
  <w:bookmarkStart w:id="60" w:name="_Hlk219903347" w:displacedByCustomXml="next"/>
  <w:bookmarkStart w:id="61" w:name="OLE_LINK44" w:displacedByCustomXml="next"/>
  <w:bookmarkStart w:id="62" w:name="OLE_LINK43" w:displacedByCustomXml="next"/>
  <w:bookmarkStart w:id="63" w:name="_Hlk219903319" w:displacedByCustomXml="next"/>
  <w:bookmarkStart w:id="64" w:name="OLE_LINK40" w:displacedByCustomXml="next"/>
  <w:bookmarkStart w:id="65" w:name="OLE_LINK39" w:displacedByCustomXml="next"/>
  <w:bookmarkStart w:id="66" w:name="_Hlk219903285" w:displacedByCustomXml="next"/>
  <w:bookmarkStart w:id="67" w:name="OLE_LINK36" w:displacedByCustomXml="next"/>
  <w:bookmarkStart w:id="68" w:name="OLE_LINK35" w:displacedByCustomXml="next"/>
  <w:bookmarkStart w:id="69" w:name="_Hlk219903237" w:displacedByCustomXml="next"/>
  <w:bookmarkStart w:id="70" w:name="OLE_LINK32" w:displacedByCustomXml="next"/>
  <w:bookmarkStart w:id="71" w:name="OLE_LINK31" w:displacedByCustomXml="next"/>
  <w:bookmarkStart w:id="72" w:name="_Hlk219903185" w:displacedByCustomXml="next"/>
  <w:bookmarkStart w:id="73" w:name="OLE_LINK28" w:displacedByCustomXml="next"/>
  <w:bookmarkStart w:id="74" w:name="OLE_LINK27" w:displacedByCustomXml="next"/>
  <w:bookmarkStart w:id="75" w:name="_Hlk219903139" w:displacedByCustomXml="next"/>
  <w:bookmarkStart w:id="76" w:name="OLE_LINK24" w:displacedByCustomXml="next"/>
  <w:bookmarkStart w:id="77" w:name="OLE_LINK23" w:displacedByCustomXml="next"/>
  <w:bookmarkStart w:id="78" w:name="_Hlk219903062" w:displacedByCustomXml="next"/>
  <w:bookmarkStart w:id="79" w:name="OLE_LINK20" w:displacedByCustomXml="next"/>
  <w:bookmarkStart w:id="80" w:name="OLE_LINK19" w:displacedByCustomXml="next"/>
  <w:bookmarkStart w:id="81" w:name="_Hlk219903009" w:displacedByCustomXml="next"/>
  <w:bookmarkStart w:id="82" w:name="OLE_LINK16" w:displacedByCustomXml="next"/>
  <w:bookmarkStart w:id="83" w:name="OLE_LINK15" w:displacedByCustomXml="next"/>
  <w:bookmarkStart w:id="84" w:name="_Hlk219902920" w:displacedByCustomXml="next"/>
  <w:bookmarkStart w:id="85" w:name="OLE_LINK12" w:displacedByCustomXml="next"/>
  <w:bookmarkStart w:id="86" w:name="OLE_LINK11" w:displacedByCustomXml="next"/>
  <w:sdt>
    <w:sdtPr>
      <w:rPr>
        <w:rStyle w:val="PageNumber"/>
      </w:rPr>
      <w:id w:val="-157921668"/>
      <w:docPartObj>
        <w:docPartGallery w:val="Page Numbers (Bottom of Page)"/>
        <w:docPartUnique/>
      </w:docPartObj>
    </w:sdtPr>
    <w:sdtContent>
      <w:p w14:paraId="0F2A6347" w14:textId="77777777" w:rsidR="000D1EE2" w:rsidRDefault="000D1EE2" w:rsidP="000D1E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1DB15E4E" w14:textId="068E40AE" w:rsidR="000D1EE2" w:rsidRDefault="000D1EE2" w:rsidP="000D1EE2">
    <w:pPr>
      <w:pStyle w:val="FirstParagraph"/>
      <w:ind w:right="360"/>
    </w:pPr>
    <w:r>
      <w:t>Document Reference: POL_HSQE_</w:t>
    </w:r>
    <w:r>
      <w:t>15</w:t>
    </w:r>
    <w:r>
      <w:t xml:space="preserve"> | Revision: 3 | Date: 1st July 2025</w:t>
    </w:r>
    <w:r>
      <w:br/>
      <w:t>Next Review: 1st July 2026 | Uncontrolled when printed</w:t>
    </w:r>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280A" w14:textId="77777777" w:rsidR="005130D7" w:rsidRDefault="005130D7" w:rsidP="000D1EE2">
      <w:r>
        <w:separator/>
      </w:r>
    </w:p>
  </w:footnote>
  <w:footnote w:type="continuationSeparator" w:id="0">
    <w:p w14:paraId="49B3ADA3" w14:textId="77777777" w:rsidR="005130D7" w:rsidRDefault="005130D7" w:rsidP="000D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000C" w14:textId="77777777" w:rsidR="000D1EE2" w:rsidRPr="001A76A4" w:rsidRDefault="000D1EE2" w:rsidP="000D1EE2">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r>
      <w:tab/>
    </w:r>
    <w:r>
      <w:rPr>
        <w:noProof/>
      </w:rPr>
      <w:drawing>
        <wp:inline distT="0" distB="0" distL="0" distR="0" wp14:anchorId="1D95EDA4" wp14:editId="1BCA7FE7">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65DF85D9" w14:textId="77777777" w:rsidR="000D1EE2" w:rsidRDefault="000D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E2475"/>
    <w:multiLevelType w:val="hybridMultilevel"/>
    <w:tmpl w:val="8CE8260E"/>
    <w:lvl w:ilvl="0" w:tplc="4380F906">
      <w:start w:val="1"/>
      <w:numFmt w:val="bullet"/>
      <w:lvlText w:val="•"/>
      <w:lvlJc w:val="left"/>
      <w:pPr>
        <w:ind w:left="720" w:hanging="360"/>
      </w:pPr>
    </w:lvl>
    <w:lvl w:ilvl="1" w:tplc="F6EE8F30">
      <w:numFmt w:val="decimal"/>
      <w:lvlText w:val=""/>
      <w:lvlJc w:val="left"/>
    </w:lvl>
    <w:lvl w:ilvl="2" w:tplc="A72E085A">
      <w:numFmt w:val="decimal"/>
      <w:lvlText w:val=""/>
      <w:lvlJc w:val="left"/>
    </w:lvl>
    <w:lvl w:ilvl="3" w:tplc="DC263128">
      <w:numFmt w:val="decimal"/>
      <w:lvlText w:val=""/>
      <w:lvlJc w:val="left"/>
    </w:lvl>
    <w:lvl w:ilvl="4" w:tplc="5348478E">
      <w:numFmt w:val="decimal"/>
      <w:lvlText w:val=""/>
      <w:lvlJc w:val="left"/>
    </w:lvl>
    <w:lvl w:ilvl="5" w:tplc="82EE609A">
      <w:numFmt w:val="decimal"/>
      <w:lvlText w:val=""/>
      <w:lvlJc w:val="left"/>
    </w:lvl>
    <w:lvl w:ilvl="6" w:tplc="62FCB304">
      <w:numFmt w:val="decimal"/>
      <w:lvlText w:val=""/>
      <w:lvlJc w:val="left"/>
    </w:lvl>
    <w:lvl w:ilvl="7" w:tplc="518E0584">
      <w:numFmt w:val="decimal"/>
      <w:lvlText w:val=""/>
      <w:lvlJc w:val="left"/>
    </w:lvl>
    <w:lvl w:ilvl="8" w:tplc="F0BAD860">
      <w:numFmt w:val="decimal"/>
      <w:lvlText w:val=""/>
      <w:lvlJc w:val="left"/>
    </w:lvl>
  </w:abstractNum>
  <w:abstractNum w:abstractNumId="1" w15:restartNumberingAfterBreak="0">
    <w:nsid w:val="7DFC7976"/>
    <w:multiLevelType w:val="hybridMultilevel"/>
    <w:tmpl w:val="F0405A1A"/>
    <w:lvl w:ilvl="0" w:tplc="333612D6">
      <w:start w:val="1"/>
      <w:numFmt w:val="bullet"/>
      <w:lvlText w:val="●"/>
      <w:lvlJc w:val="left"/>
      <w:pPr>
        <w:ind w:left="720" w:hanging="360"/>
      </w:pPr>
    </w:lvl>
    <w:lvl w:ilvl="1" w:tplc="122A2A36">
      <w:start w:val="1"/>
      <w:numFmt w:val="bullet"/>
      <w:lvlText w:val="○"/>
      <w:lvlJc w:val="left"/>
      <w:pPr>
        <w:ind w:left="1440" w:hanging="360"/>
      </w:pPr>
    </w:lvl>
    <w:lvl w:ilvl="2" w:tplc="B9DCB634">
      <w:start w:val="1"/>
      <w:numFmt w:val="bullet"/>
      <w:lvlText w:val="■"/>
      <w:lvlJc w:val="left"/>
      <w:pPr>
        <w:ind w:left="2160" w:hanging="360"/>
      </w:pPr>
    </w:lvl>
    <w:lvl w:ilvl="3" w:tplc="7CCE6A3A">
      <w:start w:val="1"/>
      <w:numFmt w:val="bullet"/>
      <w:lvlText w:val="●"/>
      <w:lvlJc w:val="left"/>
      <w:pPr>
        <w:ind w:left="2880" w:hanging="360"/>
      </w:pPr>
    </w:lvl>
    <w:lvl w:ilvl="4" w:tplc="8CA4FC32">
      <w:start w:val="1"/>
      <w:numFmt w:val="bullet"/>
      <w:lvlText w:val="○"/>
      <w:lvlJc w:val="left"/>
      <w:pPr>
        <w:ind w:left="3600" w:hanging="360"/>
      </w:pPr>
    </w:lvl>
    <w:lvl w:ilvl="5" w:tplc="BEAC86B2">
      <w:start w:val="1"/>
      <w:numFmt w:val="bullet"/>
      <w:lvlText w:val="■"/>
      <w:lvlJc w:val="left"/>
      <w:pPr>
        <w:ind w:left="4320" w:hanging="360"/>
      </w:pPr>
    </w:lvl>
    <w:lvl w:ilvl="6" w:tplc="CD245B0E">
      <w:start w:val="1"/>
      <w:numFmt w:val="bullet"/>
      <w:lvlText w:val="●"/>
      <w:lvlJc w:val="left"/>
      <w:pPr>
        <w:ind w:left="5040" w:hanging="360"/>
      </w:pPr>
    </w:lvl>
    <w:lvl w:ilvl="7" w:tplc="7D00D40A">
      <w:start w:val="1"/>
      <w:numFmt w:val="bullet"/>
      <w:lvlText w:val="●"/>
      <w:lvlJc w:val="left"/>
      <w:pPr>
        <w:ind w:left="5760" w:hanging="360"/>
      </w:pPr>
    </w:lvl>
    <w:lvl w:ilvl="8" w:tplc="3DCAF4DE">
      <w:start w:val="1"/>
      <w:numFmt w:val="bullet"/>
      <w:lvlText w:val="●"/>
      <w:lvlJc w:val="left"/>
      <w:pPr>
        <w:ind w:left="6480" w:hanging="360"/>
      </w:pPr>
    </w:lvl>
  </w:abstractNum>
  <w:num w:numId="1" w16cid:durableId="197363015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78"/>
    <w:rsid w:val="000D1EE2"/>
    <w:rsid w:val="002D2078"/>
    <w:rsid w:val="005130D7"/>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04E9FC"/>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0D1EE2"/>
    <w:pPr>
      <w:tabs>
        <w:tab w:val="center" w:pos="4513"/>
        <w:tab w:val="right" w:pos="9026"/>
      </w:tabs>
    </w:pPr>
  </w:style>
  <w:style w:type="character" w:customStyle="1" w:styleId="HeaderChar">
    <w:name w:val="Header Char"/>
    <w:basedOn w:val="DefaultParagraphFont"/>
    <w:link w:val="Header"/>
    <w:rsid w:val="000D1EE2"/>
  </w:style>
  <w:style w:type="paragraph" w:styleId="Footer">
    <w:name w:val="footer"/>
    <w:basedOn w:val="Normal"/>
    <w:link w:val="FooterChar"/>
    <w:unhideWhenUsed/>
    <w:rsid w:val="000D1EE2"/>
    <w:pPr>
      <w:tabs>
        <w:tab w:val="center" w:pos="4513"/>
        <w:tab w:val="right" w:pos="9026"/>
      </w:tabs>
    </w:pPr>
  </w:style>
  <w:style w:type="character" w:customStyle="1" w:styleId="FooterChar">
    <w:name w:val="Footer Char"/>
    <w:basedOn w:val="DefaultParagraphFont"/>
    <w:link w:val="Footer"/>
    <w:rsid w:val="000D1EE2"/>
  </w:style>
  <w:style w:type="paragraph" w:customStyle="1" w:styleId="FirstParagraph">
    <w:name w:val="First Paragraph"/>
    <w:basedOn w:val="BodyText"/>
    <w:next w:val="BodyText"/>
    <w:qFormat/>
    <w:rsid w:val="000D1EE2"/>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0D1EE2"/>
  </w:style>
  <w:style w:type="paragraph" w:styleId="BodyText">
    <w:name w:val="Body Text"/>
    <w:basedOn w:val="Normal"/>
    <w:link w:val="BodyTextChar"/>
    <w:uiPriority w:val="99"/>
    <w:semiHidden/>
    <w:unhideWhenUsed/>
    <w:rsid w:val="000D1EE2"/>
    <w:pPr>
      <w:spacing w:after="120"/>
    </w:pPr>
  </w:style>
  <w:style w:type="character" w:customStyle="1" w:styleId="BodyTextChar">
    <w:name w:val="Body Text Char"/>
    <w:basedOn w:val="DefaultParagraphFont"/>
    <w:link w:val="BodyText"/>
    <w:uiPriority w:val="99"/>
    <w:semiHidden/>
    <w:rsid w:val="000D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D0476-6143-46E2-8762-853288BDF719}"/>
</file>

<file path=customXml/itemProps2.xml><?xml version="1.0" encoding="utf-8"?>
<ds:datastoreItem xmlns:ds="http://schemas.openxmlformats.org/officeDocument/2006/customXml" ds:itemID="{5008019E-E8DE-4811-9C75-19973A5CCB6A}"/>
</file>

<file path=customXml/itemProps3.xml><?xml version="1.0" encoding="utf-8"?>
<ds:datastoreItem xmlns:ds="http://schemas.openxmlformats.org/officeDocument/2006/customXml" ds:itemID="{374123AE-01DD-4057-9897-4E97CC831B2A}"/>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