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81479" w14:textId="77777777" w:rsidR="009F3290" w:rsidRDefault="00000000">
      <w:pPr>
        <w:pStyle w:val="Heading1"/>
        <w:spacing w:after="200"/>
      </w:pPr>
      <w:r>
        <w:t>TRAINING POLICY</w:t>
      </w:r>
    </w:p>
    <w:p w14:paraId="65D66868" w14:textId="77777777" w:rsidR="009F3290" w:rsidRDefault="00000000">
      <w:pPr>
        <w:pStyle w:val="Heading2"/>
        <w:spacing w:before="240" w:after="120"/>
      </w:pPr>
      <w:r>
        <w:t>Purpose</w:t>
      </w:r>
    </w:p>
    <w:p w14:paraId="6D7040C2" w14:textId="77777777" w:rsidR="009F3290" w:rsidRDefault="00000000">
      <w:pPr>
        <w:spacing w:after="120"/>
      </w:pPr>
      <w:r>
        <w:t>A M Water Services Ltd recognises that competent, well-trained employees are fundamental to delivering safe, high-quality water infrastructure and grab services. This policy ensures everyone has the skills and knowledge to work safely and effectively while supporting career development aligned with our "#TEAM" philosophy.</w:t>
      </w:r>
    </w:p>
    <w:p w14:paraId="067150A9" w14:textId="77777777" w:rsidR="009F3290" w:rsidRDefault="00000000">
      <w:pPr>
        <w:pStyle w:val="Heading2"/>
        <w:spacing w:before="240" w:after="120"/>
      </w:pPr>
      <w:r>
        <w:t>Scope</w:t>
      </w:r>
    </w:p>
    <w:p w14:paraId="44301260" w14:textId="77777777" w:rsidR="009F3290" w:rsidRDefault="00000000">
      <w:pPr>
        <w:spacing w:after="120"/>
      </w:pPr>
      <w:r>
        <w:t>This policy applies to all employees, directors, contractors, agency workers, apprentices and work experience participants working for or on behalf of A M Water Services Ltd across all operations including water main laying, self-lay schemes and grab services.</w:t>
      </w:r>
    </w:p>
    <w:p w14:paraId="033DC272" w14:textId="77777777" w:rsidR="009F3290" w:rsidRDefault="00000000">
      <w:pPr>
        <w:pStyle w:val="Heading2"/>
        <w:spacing w:before="240" w:after="120"/>
      </w:pPr>
      <w:r>
        <w:t>Legal Requirements</w:t>
      </w:r>
    </w:p>
    <w:p w14:paraId="73595385" w14:textId="77777777" w:rsidR="009F3290" w:rsidRDefault="00000000">
      <w:pPr>
        <w:spacing w:after="120"/>
      </w:pPr>
      <w:r>
        <w:t>This policy ensures compliance with the Health and Safety at Work Act 1974, Management of Health and Safety at Work Regulations 1999, and specific regulations covering machinery operation, manual handling, hazardous substances and personal protective equipment. We also meet Water Industry Registration Scheme (WIRS) requirements and maintain ISO 9001, 14001 and 45001 certifications.</w:t>
      </w:r>
    </w:p>
    <w:p w14:paraId="44E619CB" w14:textId="77777777" w:rsidR="009F3290" w:rsidRDefault="00000000">
      <w:pPr>
        <w:pStyle w:val="Heading2"/>
        <w:spacing w:before="240" w:after="120"/>
      </w:pPr>
      <w:r>
        <w:t>Policy Statement</w:t>
      </w:r>
    </w:p>
    <w:p w14:paraId="4A78508B" w14:textId="77777777" w:rsidR="009F3290" w:rsidRDefault="00000000">
      <w:pPr>
        <w:spacing w:after="120"/>
      </w:pPr>
      <w:r>
        <w:t>We are committed to providing comprehensive training that keeps our workforce safe and competent. Every new starter receives thorough induction training covering health and safety, company procedures, site-specific hazards and emergency responses. This applies equally to permanent employees and temporary contractors working on our water infrastructure projects or operating grab vehicles. We assess each person's existing qualifications and experience during induction to identify any additional training needs specific to their role.</w:t>
      </w:r>
    </w:p>
    <w:p w14:paraId="04B6CF7F" w14:textId="77777777" w:rsidR="009F3290" w:rsidRDefault="00000000">
      <w:pPr>
        <w:spacing w:after="120"/>
      </w:pPr>
      <w:r>
        <w:t>Our training approach focuses on practical competence rather than just certification. For water industry operations, we ensure all operatives hold current EUSR National Water Hygiene cards and relevant NRSWA street works qualifications. Grab drivers receive specific training on vehicle operation, loading procedures and waste regulations. Supervisors receive additional leadership training to effectively manage sites and support their teams. We maintain a training matrix identifying mandatory requirements for each role, from basic manual handling awareness through to specialized confined space entry or chlorination procedures.</w:t>
      </w:r>
    </w:p>
    <w:p w14:paraId="7442FD4C" w14:textId="77777777" w:rsidR="009F3290" w:rsidRDefault="00000000">
      <w:pPr>
        <w:spacing w:after="120"/>
      </w:pPr>
      <w:r>
        <w:t>Training needs are reviewed annually through performance reviews, following incidents, when introducing new equipment or processes, and in response to legislative changes. We measure competence through practical observation, written assessments and portfolio evidence, ensuring people can demonstrate real understanding not just theoretical knowledge. Regular toolbox talks reinforce key safety messages while refresher training maintains standards over time.</w:t>
      </w:r>
    </w:p>
    <w:p w14:paraId="126FDD7B" w14:textId="77777777" w:rsidR="00466518" w:rsidRDefault="00466518">
      <w:pPr>
        <w:spacing w:after="120"/>
      </w:pPr>
    </w:p>
    <w:p w14:paraId="0646A2C3" w14:textId="77777777" w:rsidR="00466518" w:rsidRDefault="00466518">
      <w:pPr>
        <w:spacing w:after="120"/>
      </w:pPr>
    </w:p>
    <w:p w14:paraId="231A66B9" w14:textId="77777777" w:rsidR="00466518" w:rsidRDefault="00466518">
      <w:pPr>
        <w:spacing w:after="120"/>
      </w:pPr>
    </w:p>
    <w:p w14:paraId="1FE09D82" w14:textId="77777777" w:rsidR="00466518" w:rsidRDefault="00466518">
      <w:pPr>
        <w:spacing w:after="120"/>
      </w:pPr>
    </w:p>
    <w:p w14:paraId="48FC355C" w14:textId="77777777" w:rsidR="009F3290" w:rsidRDefault="00000000">
      <w:pPr>
        <w:pStyle w:val="Heading2"/>
        <w:spacing w:before="240" w:after="120"/>
      </w:pPr>
      <w:r>
        <w:t>Implementation</w:t>
      </w:r>
    </w:p>
    <w:p w14:paraId="0E97E1B7" w14:textId="77777777" w:rsidR="009F3290" w:rsidRDefault="00000000">
      <w:pPr>
        <w:spacing w:after="120"/>
      </w:pPr>
      <w:r>
        <w:t xml:space="preserve">The Directors maintain overall responsibility for ensuring adequate resources for training and development. Line managers identify training needs, arrange appropriate courses and monitor competence levels within their teams. All employees must attend mandatory training, actively participate in development opportunities and share knowledge with colleagues. We maintain comprehensive training records for </w:t>
      </w:r>
      <w:proofErr w:type="gramStart"/>
      <w:r>
        <w:t>each individual</w:t>
      </w:r>
      <w:proofErr w:type="gramEnd"/>
      <w:r>
        <w:t>, tracking qualifications, competencies and renewal dates through our management system.</w:t>
      </w:r>
    </w:p>
    <w:p w14:paraId="73BAF468" w14:textId="77777777" w:rsidR="009F3290" w:rsidRDefault="00000000">
      <w:pPr>
        <w:pStyle w:val="Heading2"/>
        <w:spacing w:before="240" w:after="120"/>
      </w:pPr>
      <w:r>
        <w:t>Review</w:t>
      </w:r>
    </w:p>
    <w:p w14:paraId="663F2C32" w14:textId="77777777" w:rsidR="009F3290" w:rsidRDefault="00000000">
      <w:pPr>
        <w:spacing w:after="120"/>
      </w:pPr>
      <w:r>
        <w:t>This policy will be reviewed annually by the Directors to ensure it remains effective and maintains workforce competency across all company operations.</w:t>
      </w:r>
    </w:p>
    <w:p w14:paraId="208F6218" w14:textId="77777777" w:rsidR="009F3290" w:rsidRDefault="009F3290">
      <w:pPr>
        <w:spacing w:before="240"/>
      </w:pPr>
    </w:p>
    <w:p w14:paraId="37B2E3B9" w14:textId="77777777" w:rsidR="009F3290" w:rsidRDefault="00000000">
      <w:pPr>
        <w:spacing w:after="120"/>
      </w:pPr>
      <w:r>
        <w:rPr>
          <w:b/>
          <w:bCs/>
        </w:rPr>
        <w:t>Signed:</w:t>
      </w:r>
    </w:p>
    <w:p w14:paraId="64D7021A" w14:textId="77777777" w:rsidR="009F3290" w:rsidRDefault="00000000">
      <w:pPr>
        <w:spacing w:after="40"/>
      </w:pPr>
      <w:r>
        <w:rPr>
          <w:b/>
          <w:bCs/>
        </w:rPr>
        <w:t>Aaron Mason</w:t>
      </w:r>
    </w:p>
    <w:p w14:paraId="27788DBE" w14:textId="77777777" w:rsidR="009F3290" w:rsidRDefault="00000000">
      <w:pPr>
        <w:spacing w:after="40"/>
      </w:pPr>
      <w:r>
        <w:t>Director</w:t>
      </w:r>
    </w:p>
    <w:p w14:paraId="56E273E2" w14:textId="77777777" w:rsidR="009F3290" w:rsidRDefault="00000000">
      <w:pPr>
        <w:spacing w:after="40"/>
      </w:pPr>
      <w:r>
        <w:t>A M Water Services Ltd</w:t>
      </w:r>
    </w:p>
    <w:p w14:paraId="48849857" w14:textId="77777777" w:rsidR="009F3290" w:rsidRDefault="00000000">
      <w:r>
        <w:t>1st July 2025</w:t>
      </w:r>
    </w:p>
    <w:p w14:paraId="21D52962" w14:textId="77777777" w:rsidR="009F3290" w:rsidRDefault="009F3290">
      <w:pPr>
        <w:spacing w:before="480"/>
      </w:pPr>
    </w:p>
    <w:p w14:paraId="09A15E09" w14:textId="77777777" w:rsidR="009F3290" w:rsidRDefault="00000000">
      <w:pPr>
        <w:spacing w:after="40"/>
      </w:pPr>
      <w:r>
        <w:rPr>
          <w:color w:val="666666"/>
          <w:sz w:val="18"/>
          <w:szCs w:val="18"/>
        </w:rPr>
        <w:t>Document Reference: POL_HSQE_24 | Revision: 3 | Date: 1st July 2025</w:t>
      </w:r>
    </w:p>
    <w:p w14:paraId="0EA1330C" w14:textId="77777777" w:rsidR="009F3290" w:rsidRDefault="00000000">
      <w:r>
        <w:rPr>
          <w:color w:val="666666"/>
          <w:sz w:val="18"/>
          <w:szCs w:val="18"/>
        </w:rPr>
        <w:t>Next Review: 1st July 2026 | Uncontrolled when printed</w:t>
      </w:r>
    </w:p>
    <w:sectPr w:rsidR="009F3290">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16D5E" w14:textId="77777777" w:rsidR="009A1552" w:rsidRDefault="009A1552" w:rsidP="00466518">
      <w:r>
        <w:separator/>
      </w:r>
    </w:p>
  </w:endnote>
  <w:endnote w:type="continuationSeparator" w:id="0">
    <w:p w14:paraId="14063346" w14:textId="77777777" w:rsidR="009A1552" w:rsidRDefault="009A1552" w:rsidP="0046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2" w:name="_Hlk219904099" w:displacedByCustomXml="next"/>
  <w:bookmarkStart w:id="73" w:name="OLE_LINK102" w:displacedByCustomXml="next"/>
  <w:bookmarkStart w:id="74" w:name="OLE_LINK101" w:displacedByCustomXml="next"/>
  <w:bookmarkStart w:id="75" w:name="_Hlk219904068" w:displacedByCustomXml="next"/>
  <w:bookmarkStart w:id="76" w:name="OLE_LINK98" w:displacedByCustomXml="next"/>
  <w:bookmarkStart w:id="77" w:name="OLE_LINK97" w:displacedByCustomXml="next"/>
  <w:bookmarkStart w:id="78" w:name="_Hlk219904038" w:displacedByCustomXml="next"/>
  <w:bookmarkStart w:id="79" w:name="OLE_LINK94" w:displacedByCustomXml="next"/>
  <w:bookmarkStart w:id="80" w:name="OLE_LINK93" w:displacedByCustomXml="next"/>
  <w:bookmarkStart w:id="81" w:name="_Hlk219903908" w:displacedByCustomXml="next"/>
  <w:bookmarkStart w:id="82" w:name="OLE_LINK90" w:displacedByCustomXml="next"/>
  <w:bookmarkStart w:id="83" w:name="OLE_LINK89" w:displacedByCustomXml="next"/>
  <w:bookmarkStart w:id="84" w:name="_Hlk219903859" w:displacedByCustomXml="next"/>
  <w:bookmarkStart w:id="85" w:name="OLE_LINK86" w:displacedByCustomXml="next"/>
  <w:bookmarkStart w:id="86" w:name="OLE_LINK85" w:displacedByCustomXml="next"/>
  <w:bookmarkStart w:id="87" w:name="_Hlk219903795" w:displacedByCustomXml="next"/>
  <w:bookmarkStart w:id="88" w:name="OLE_LINK82" w:displacedByCustomXml="next"/>
  <w:bookmarkStart w:id="89" w:name="OLE_LINK81" w:displacedByCustomXml="next"/>
  <w:bookmarkStart w:id="90" w:name="_Hlk219903728" w:displacedByCustomXml="next"/>
  <w:bookmarkStart w:id="91" w:name="OLE_LINK78" w:displacedByCustomXml="next"/>
  <w:bookmarkStart w:id="92" w:name="OLE_LINK77" w:displacedByCustomXml="next"/>
  <w:bookmarkStart w:id="93" w:name="_Hlk219903685" w:displacedByCustomXml="next"/>
  <w:bookmarkStart w:id="94" w:name="OLE_LINK74" w:displacedByCustomXml="next"/>
  <w:bookmarkStart w:id="95" w:name="OLE_LINK73" w:displacedByCustomXml="next"/>
  <w:bookmarkStart w:id="96" w:name="_Hlk219903643" w:displacedByCustomXml="next"/>
  <w:bookmarkStart w:id="97" w:name="OLE_LINK70" w:displacedByCustomXml="next"/>
  <w:bookmarkStart w:id="98" w:name="OLE_LINK69" w:displacedByCustomXml="next"/>
  <w:bookmarkStart w:id="99" w:name="_Hlk219903600" w:displacedByCustomXml="next"/>
  <w:bookmarkStart w:id="100" w:name="OLE_LINK66" w:displacedByCustomXml="next"/>
  <w:bookmarkStart w:id="101" w:name="OLE_LINK65" w:displacedByCustomXml="next"/>
  <w:bookmarkStart w:id="102" w:name="_Hlk219903549" w:displacedByCustomXml="next"/>
  <w:bookmarkStart w:id="103" w:name="OLE_LINK62" w:displacedByCustomXml="next"/>
  <w:bookmarkStart w:id="104" w:name="OLE_LINK61" w:displacedByCustomXml="next"/>
  <w:bookmarkStart w:id="105" w:name="_Hlk219903515" w:displacedByCustomXml="next"/>
  <w:bookmarkStart w:id="106" w:name="OLE_LINK58" w:displacedByCustomXml="next"/>
  <w:bookmarkStart w:id="107" w:name="OLE_LINK57" w:displacedByCustomXml="next"/>
  <w:bookmarkStart w:id="108" w:name="_Hlk219903482" w:displacedByCustomXml="next"/>
  <w:bookmarkStart w:id="109" w:name="OLE_LINK54" w:displacedByCustomXml="next"/>
  <w:bookmarkStart w:id="110" w:name="OLE_LINK53" w:displacedByCustomXml="next"/>
  <w:bookmarkStart w:id="111" w:name="_Hlk219903432" w:displacedByCustomXml="next"/>
  <w:bookmarkStart w:id="112" w:name="OLE_LINK50" w:displacedByCustomXml="next"/>
  <w:bookmarkStart w:id="113" w:name="OLE_LINK49" w:displacedByCustomXml="next"/>
  <w:bookmarkStart w:id="114" w:name="_Hlk219903347" w:displacedByCustomXml="next"/>
  <w:bookmarkStart w:id="115" w:name="OLE_LINK44" w:displacedByCustomXml="next"/>
  <w:bookmarkStart w:id="116" w:name="OLE_LINK43" w:displacedByCustomXml="next"/>
  <w:bookmarkStart w:id="117" w:name="_Hlk219903319" w:displacedByCustomXml="next"/>
  <w:bookmarkStart w:id="118" w:name="OLE_LINK40" w:displacedByCustomXml="next"/>
  <w:bookmarkStart w:id="119" w:name="OLE_LINK39" w:displacedByCustomXml="next"/>
  <w:bookmarkStart w:id="120" w:name="_Hlk219903285" w:displacedByCustomXml="next"/>
  <w:bookmarkStart w:id="121" w:name="OLE_LINK36" w:displacedByCustomXml="next"/>
  <w:bookmarkStart w:id="122" w:name="OLE_LINK35" w:displacedByCustomXml="next"/>
  <w:bookmarkStart w:id="123" w:name="_Hlk219903237" w:displacedByCustomXml="next"/>
  <w:bookmarkStart w:id="124" w:name="OLE_LINK32" w:displacedByCustomXml="next"/>
  <w:bookmarkStart w:id="125" w:name="OLE_LINK31" w:displacedByCustomXml="next"/>
  <w:bookmarkStart w:id="126" w:name="_Hlk219903185" w:displacedByCustomXml="next"/>
  <w:bookmarkStart w:id="127" w:name="OLE_LINK28" w:displacedByCustomXml="next"/>
  <w:bookmarkStart w:id="128" w:name="OLE_LINK27" w:displacedByCustomXml="next"/>
  <w:bookmarkStart w:id="129" w:name="_Hlk219903139" w:displacedByCustomXml="next"/>
  <w:bookmarkStart w:id="130" w:name="OLE_LINK24" w:displacedByCustomXml="next"/>
  <w:bookmarkStart w:id="131" w:name="OLE_LINK23" w:displacedByCustomXml="next"/>
  <w:bookmarkStart w:id="132" w:name="_Hlk219903062" w:displacedByCustomXml="next"/>
  <w:bookmarkStart w:id="133" w:name="OLE_LINK20" w:displacedByCustomXml="next"/>
  <w:bookmarkStart w:id="134" w:name="OLE_LINK19" w:displacedByCustomXml="next"/>
  <w:bookmarkStart w:id="135" w:name="_Hlk219903009" w:displacedByCustomXml="next"/>
  <w:bookmarkStart w:id="136" w:name="OLE_LINK16" w:displacedByCustomXml="next"/>
  <w:bookmarkStart w:id="137" w:name="OLE_LINK15" w:displacedByCustomXml="next"/>
  <w:bookmarkStart w:id="138" w:name="_Hlk219902920" w:displacedByCustomXml="next"/>
  <w:bookmarkStart w:id="139" w:name="OLE_LINK12" w:displacedByCustomXml="next"/>
  <w:bookmarkStart w:id="140" w:name="OLE_LINK11" w:displacedByCustomXml="next"/>
  <w:sdt>
    <w:sdtPr>
      <w:rPr>
        <w:rStyle w:val="PageNumber"/>
      </w:rPr>
      <w:id w:val="-157921668"/>
      <w:docPartObj>
        <w:docPartGallery w:val="Page Numbers (Bottom of Page)"/>
        <w:docPartUnique/>
      </w:docPartObj>
    </w:sdtPr>
    <w:sdtContent>
      <w:p w14:paraId="43CB4969" w14:textId="77777777" w:rsidR="00466518" w:rsidRDefault="00466518" w:rsidP="004665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25D5E4EB" w14:textId="16523917" w:rsidR="00466518" w:rsidRDefault="00466518" w:rsidP="00466518">
    <w:pPr>
      <w:pStyle w:val="FirstParagraph"/>
      <w:ind w:right="360"/>
    </w:pPr>
    <w:r>
      <w:t>Document Reference: POL_HSQE_2</w:t>
    </w:r>
    <w:r>
      <w:t>4</w:t>
    </w:r>
    <w:r>
      <w:t xml:space="preserve"> | Revision: 3 | Date: 1st July 2025</w:t>
    </w:r>
    <w:r>
      <w:br/>
      <w:t>Next Review: 1st July 2026 | Uncontrolled when printed</w:t>
    </w:r>
    <w:bookmarkEnd w:id="140"/>
    <w:bookmarkEnd w:id="139"/>
    <w:bookmarkEnd w:id="138"/>
    <w:bookmarkEnd w:id="137"/>
    <w:bookmarkEnd w:id="136"/>
    <w:bookmarkEnd w:id="135"/>
    <w:bookmarkEnd w:id="134"/>
    <w:bookmarkEnd w:id="133"/>
    <w:bookmarkEnd w:id="132"/>
    <w:bookmarkEnd w:id="131"/>
    <w:bookmarkEnd w:id="130"/>
    <w:bookmarkEnd w:id="129"/>
    <w:bookmarkEnd w:id="128"/>
    <w:bookmarkEnd w:id="127"/>
    <w:bookmarkEnd w:id="126"/>
    <w:bookmarkEnd w:id="125"/>
    <w:bookmarkEnd w:id="124"/>
    <w:bookmarkEnd w:id="123"/>
    <w:bookmarkEnd w:id="122"/>
    <w:bookmarkEnd w:id="121"/>
    <w:bookmarkEnd w:id="120"/>
    <w:bookmarkEnd w:id="119"/>
    <w:bookmarkEnd w:id="118"/>
    <w:bookmarkEnd w:id="117"/>
    <w:bookmarkEnd w:id="116"/>
    <w:bookmarkEnd w:id="115"/>
    <w:bookmarkEnd w:id="114"/>
    <w:bookmarkEnd w:id="113"/>
    <w:bookmarkEnd w:id="112"/>
    <w:bookmarkEnd w:id="111"/>
    <w:bookmarkEnd w:id="11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328B" w14:textId="77777777" w:rsidR="009A1552" w:rsidRDefault="009A1552" w:rsidP="00466518">
      <w:r>
        <w:separator/>
      </w:r>
    </w:p>
  </w:footnote>
  <w:footnote w:type="continuationSeparator" w:id="0">
    <w:p w14:paraId="32BB11F5" w14:textId="77777777" w:rsidR="009A1552" w:rsidRDefault="009A1552" w:rsidP="00466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2795" w14:textId="77777777" w:rsidR="00466518" w:rsidRPr="001A76A4" w:rsidRDefault="00466518" w:rsidP="00466518">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bookmarkStart w:id="48" w:name="OLE_LINK71"/>
    <w:bookmarkStart w:id="49" w:name="OLE_LINK72"/>
    <w:bookmarkStart w:id="50" w:name="_Hlk219903678"/>
    <w:bookmarkStart w:id="51" w:name="OLE_LINK75"/>
    <w:bookmarkStart w:id="52" w:name="OLE_LINK76"/>
    <w:bookmarkStart w:id="53" w:name="_Hlk219903720"/>
    <w:bookmarkStart w:id="54" w:name="OLE_LINK79"/>
    <w:bookmarkStart w:id="55" w:name="OLE_LINK80"/>
    <w:bookmarkStart w:id="56" w:name="_Hlk219903785"/>
    <w:bookmarkStart w:id="57" w:name="OLE_LINK83"/>
    <w:bookmarkStart w:id="58" w:name="OLE_LINK84"/>
    <w:bookmarkStart w:id="59" w:name="_Hlk219903832"/>
    <w:bookmarkStart w:id="60" w:name="OLE_LINK87"/>
    <w:bookmarkStart w:id="61" w:name="OLE_LINK88"/>
    <w:bookmarkStart w:id="62" w:name="_Hlk219903896"/>
    <w:bookmarkStart w:id="63" w:name="OLE_LINK91"/>
    <w:bookmarkStart w:id="64" w:name="OLE_LINK92"/>
    <w:bookmarkStart w:id="65" w:name="_Hlk219904031"/>
    <w:bookmarkStart w:id="66" w:name="OLE_LINK95"/>
    <w:bookmarkStart w:id="67" w:name="OLE_LINK96"/>
    <w:bookmarkStart w:id="68" w:name="_Hlk219904061"/>
    <w:bookmarkStart w:id="69" w:name="OLE_LINK99"/>
    <w:bookmarkStart w:id="70" w:name="OLE_LINK100"/>
    <w:bookmarkStart w:id="71" w:name="_Hlk219904093"/>
    <w:r>
      <w:tab/>
    </w:r>
    <w:r>
      <w:rPr>
        <w:noProof/>
      </w:rPr>
      <w:drawing>
        <wp:inline distT="0" distB="0" distL="0" distR="0" wp14:anchorId="56DA4266" wp14:editId="0E321913">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175A3B48" w14:textId="77777777" w:rsidR="00466518" w:rsidRDefault="00466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56DEE"/>
    <w:multiLevelType w:val="hybridMultilevel"/>
    <w:tmpl w:val="33024232"/>
    <w:lvl w:ilvl="0" w:tplc="DD5A5B7C">
      <w:start w:val="1"/>
      <w:numFmt w:val="bullet"/>
      <w:lvlText w:val="•"/>
      <w:lvlJc w:val="left"/>
      <w:pPr>
        <w:ind w:left="720" w:hanging="360"/>
      </w:pPr>
    </w:lvl>
    <w:lvl w:ilvl="1" w:tplc="3AECEE5E">
      <w:numFmt w:val="decimal"/>
      <w:lvlText w:val=""/>
      <w:lvlJc w:val="left"/>
    </w:lvl>
    <w:lvl w:ilvl="2" w:tplc="14E4B734">
      <w:numFmt w:val="decimal"/>
      <w:lvlText w:val=""/>
      <w:lvlJc w:val="left"/>
    </w:lvl>
    <w:lvl w:ilvl="3" w:tplc="E55C9B1C">
      <w:numFmt w:val="decimal"/>
      <w:lvlText w:val=""/>
      <w:lvlJc w:val="left"/>
    </w:lvl>
    <w:lvl w:ilvl="4" w:tplc="31588872">
      <w:numFmt w:val="decimal"/>
      <w:lvlText w:val=""/>
      <w:lvlJc w:val="left"/>
    </w:lvl>
    <w:lvl w:ilvl="5" w:tplc="27C62F3A">
      <w:numFmt w:val="decimal"/>
      <w:lvlText w:val=""/>
      <w:lvlJc w:val="left"/>
    </w:lvl>
    <w:lvl w:ilvl="6" w:tplc="24ECE8A0">
      <w:numFmt w:val="decimal"/>
      <w:lvlText w:val=""/>
      <w:lvlJc w:val="left"/>
    </w:lvl>
    <w:lvl w:ilvl="7" w:tplc="EBFCA1E2">
      <w:numFmt w:val="decimal"/>
      <w:lvlText w:val=""/>
      <w:lvlJc w:val="left"/>
    </w:lvl>
    <w:lvl w:ilvl="8" w:tplc="C2887330">
      <w:numFmt w:val="decimal"/>
      <w:lvlText w:val=""/>
      <w:lvlJc w:val="left"/>
    </w:lvl>
  </w:abstractNum>
  <w:abstractNum w:abstractNumId="1" w15:restartNumberingAfterBreak="0">
    <w:nsid w:val="7140699A"/>
    <w:multiLevelType w:val="hybridMultilevel"/>
    <w:tmpl w:val="2D92B774"/>
    <w:lvl w:ilvl="0" w:tplc="6E96D09C">
      <w:start w:val="1"/>
      <w:numFmt w:val="bullet"/>
      <w:lvlText w:val="●"/>
      <w:lvlJc w:val="left"/>
      <w:pPr>
        <w:ind w:left="720" w:hanging="360"/>
      </w:pPr>
    </w:lvl>
    <w:lvl w:ilvl="1" w:tplc="8CD44D32">
      <w:start w:val="1"/>
      <w:numFmt w:val="bullet"/>
      <w:lvlText w:val="○"/>
      <w:lvlJc w:val="left"/>
      <w:pPr>
        <w:ind w:left="1440" w:hanging="360"/>
      </w:pPr>
    </w:lvl>
    <w:lvl w:ilvl="2" w:tplc="FC421A80">
      <w:start w:val="1"/>
      <w:numFmt w:val="bullet"/>
      <w:lvlText w:val="■"/>
      <w:lvlJc w:val="left"/>
      <w:pPr>
        <w:ind w:left="2160" w:hanging="360"/>
      </w:pPr>
    </w:lvl>
    <w:lvl w:ilvl="3" w:tplc="1FE26EC4">
      <w:start w:val="1"/>
      <w:numFmt w:val="bullet"/>
      <w:lvlText w:val="●"/>
      <w:lvlJc w:val="left"/>
      <w:pPr>
        <w:ind w:left="2880" w:hanging="360"/>
      </w:pPr>
    </w:lvl>
    <w:lvl w:ilvl="4" w:tplc="B16867CE">
      <w:start w:val="1"/>
      <w:numFmt w:val="bullet"/>
      <w:lvlText w:val="○"/>
      <w:lvlJc w:val="left"/>
      <w:pPr>
        <w:ind w:left="3600" w:hanging="360"/>
      </w:pPr>
    </w:lvl>
    <w:lvl w:ilvl="5" w:tplc="D8CA522E">
      <w:start w:val="1"/>
      <w:numFmt w:val="bullet"/>
      <w:lvlText w:val="■"/>
      <w:lvlJc w:val="left"/>
      <w:pPr>
        <w:ind w:left="4320" w:hanging="360"/>
      </w:pPr>
    </w:lvl>
    <w:lvl w:ilvl="6" w:tplc="0A3E3DFC">
      <w:start w:val="1"/>
      <w:numFmt w:val="bullet"/>
      <w:lvlText w:val="●"/>
      <w:lvlJc w:val="left"/>
      <w:pPr>
        <w:ind w:left="5040" w:hanging="360"/>
      </w:pPr>
    </w:lvl>
    <w:lvl w:ilvl="7" w:tplc="361E954C">
      <w:start w:val="1"/>
      <w:numFmt w:val="bullet"/>
      <w:lvlText w:val="●"/>
      <w:lvlJc w:val="left"/>
      <w:pPr>
        <w:ind w:left="5760" w:hanging="360"/>
      </w:pPr>
    </w:lvl>
    <w:lvl w:ilvl="8" w:tplc="1616B0E2">
      <w:start w:val="1"/>
      <w:numFmt w:val="bullet"/>
      <w:lvlText w:val="●"/>
      <w:lvlJc w:val="left"/>
      <w:pPr>
        <w:ind w:left="6480" w:hanging="360"/>
      </w:pPr>
    </w:lvl>
  </w:abstractNum>
  <w:num w:numId="1" w16cid:durableId="14755672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90"/>
    <w:rsid w:val="00466518"/>
    <w:rsid w:val="009A1552"/>
    <w:rsid w:val="009F3290"/>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3CF31C"/>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466518"/>
    <w:pPr>
      <w:tabs>
        <w:tab w:val="center" w:pos="4513"/>
        <w:tab w:val="right" w:pos="9026"/>
      </w:tabs>
    </w:pPr>
  </w:style>
  <w:style w:type="character" w:customStyle="1" w:styleId="HeaderChar">
    <w:name w:val="Header Char"/>
    <w:basedOn w:val="DefaultParagraphFont"/>
    <w:link w:val="Header"/>
    <w:rsid w:val="00466518"/>
  </w:style>
  <w:style w:type="paragraph" w:styleId="Footer">
    <w:name w:val="footer"/>
    <w:basedOn w:val="Normal"/>
    <w:link w:val="FooterChar"/>
    <w:unhideWhenUsed/>
    <w:rsid w:val="00466518"/>
    <w:pPr>
      <w:tabs>
        <w:tab w:val="center" w:pos="4513"/>
        <w:tab w:val="right" w:pos="9026"/>
      </w:tabs>
    </w:pPr>
  </w:style>
  <w:style w:type="character" w:customStyle="1" w:styleId="FooterChar">
    <w:name w:val="Footer Char"/>
    <w:basedOn w:val="DefaultParagraphFont"/>
    <w:link w:val="Footer"/>
    <w:rsid w:val="00466518"/>
  </w:style>
  <w:style w:type="paragraph" w:customStyle="1" w:styleId="FirstParagraph">
    <w:name w:val="First Paragraph"/>
    <w:basedOn w:val="BodyText"/>
    <w:next w:val="BodyText"/>
    <w:qFormat/>
    <w:rsid w:val="00466518"/>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466518"/>
  </w:style>
  <w:style w:type="paragraph" w:styleId="BodyText">
    <w:name w:val="Body Text"/>
    <w:basedOn w:val="Normal"/>
    <w:link w:val="BodyTextChar"/>
    <w:uiPriority w:val="99"/>
    <w:semiHidden/>
    <w:unhideWhenUsed/>
    <w:rsid w:val="00466518"/>
    <w:pPr>
      <w:spacing w:after="120"/>
    </w:pPr>
  </w:style>
  <w:style w:type="character" w:customStyle="1" w:styleId="BodyTextChar">
    <w:name w:val="Body Text Char"/>
    <w:basedOn w:val="DefaultParagraphFont"/>
    <w:link w:val="BodyText"/>
    <w:uiPriority w:val="99"/>
    <w:semiHidden/>
    <w:rsid w:val="00466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0ED538-E534-4A7F-AA45-C14B0B0B407F}"/>
</file>

<file path=customXml/itemProps2.xml><?xml version="1.0" encoding="utf-8"?>
<ds:datastoreItem xmlns:ds="http://schemas.openxmlformats.org/officeDocument/2006/customXml" ds:itemID="{1C65E16B-D8E4-4076-89C9-773CCE0338C3}"/>
</file>

<file path=customXml/itemProps3.xml><?xml version="1.0" encoding="utf-8"?>
<ds:datastoreItem xmlns:ds="http://schemas.openxmlformats.org/officeDocument/2006/customXml" ds:itemID="{D5E31C87-F40A-4861-8FBF-5CCA3CFCE3E8}"/>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