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793B" w14:textId="77777777" w:rsidR="00742D05" w:rsidRDefault="00000000">
      <w:pPr>
        <w:pStyle w:val="Heading1"/>
        <w:spacing w:after="200"/>
      </w:pPr>
      <w:r>
        <w:t>WELFARE POLICY</w:t>
      </w:r>
    </w:p>
    <w:p w14:paraId="06EDD7E1" w14:textId="77777777" w:rsidR="00742D05" w:rsidRDefault="00000000">
      <w:pPr>
        <w:pStyle w:val="Heading2"/>
        <w:spacing w:before="240" w:after="120"/>
      </w:pPr>
      <w:r>
        <w:t>Purpose</w:t>
      </w:r>
    </w:p>
    <w:p w14:paraId="6D7F878F" w14:textId="77777777" w:rsidR="00742D05" w:rsidRDefault="00000000">
      <w:pPr>
        <w:spacing w:after="120"/>
      </w:pPr>
      <w:r>
        <w:t>A M Water Services Ltd is committed to providing suitable welfare facilities that support the health, safety and wellbeing of our workforce across all water infrastructure and grab operations. This policy ensures we meet our legal obligations while demonstrating our #TEAM values by creating workplace conditions that enable everyone to perform effectively.</w:t>
      </w:r>
    </w:p>
    <w:p w14:paraId="50807B53" w14:textId="77777777" w:rsidR="00742D05" w:rsidRDefault="00000000">
      <w:pPr>
        <w:pStyle w:val="Heading2"/>
        <w:spacing w:before="240" w:after="120"/>
      </w:pPr>
      <w:r>
        <w:t>Scope</w:t>
      </w:r>
    </w:p>
    <w:p w14:paraId="6C07FB16" w14:textId="77777777" w:rsidR="00742D05" w:rsidRDefault="00000000">
      <w:pPr>
        <w:spacing w:after="120"/>
      </w:pPr>
      <w:r>
        <w:t>This policy applies to all employees, directors, contractors, and visitors to A M Water Services Ltd premises and sites, including both fixed locations and transient work areas.</w:t>
      </w:r>
    </w:p>
    <w:p w14:paraId="09387654" w14:textId="77777777" w:rsidR="00742D05" w:rsidRDefault="00000000">
      <w:pPr>
        <w:pStyle w:val="Heading2"/>
        <w:spacing w:before="240" w:after="120"/>
      </w:pPr>
      <w:r>
        <w:t>Legal Requirements</w:t>
      </w:r>
    </w:p>
    <w:p w14:paraId="5620273E" w14:textId="77777777" w:rsidR="00742D05" w:rsidRDefault="00000000">
      <w:pPr>
        <w:spacing w:after="120"/>
      </w:pPr>
      <w:r>
        <w:t>This policy ensures compliance with the Construction (Design and Management) Regulations 2015, the Workplace (Health, Safety and Welfare) Regulations 1992, and the Health and Safety at Work Act 1974.</w:t>
      </w:r>
    </w:p>
    <w:p w14:paraId="2A8E4E3D" w14:textId="77777777" w:rsidR="00742D05" w:rsidRDefault="00000000">
      <w:pPr>
        <w:pStyle w:val="Heading2"/>
        <w:spacing w:before="240" w:after="120"/>
      </w:pPr>
      <w:r>
        <w:t>Policy Statement</w:t>
      </w:r>
    </w:p>
    <w:p w14:paraId="305C5666" w14:textId="77777777" w:rsidR="00742D05" w:rsidRDefault="00000000">
      <w:pPr>
        <w:spacing w:after="120"/>
      </w:pPr>
      <w:r>
        <w:t>We recognize that adequate welfare facilities are essential for maintaining workforce health, dignity and productivity. Before starting any project, we'll discuss welfare arrangements with clients or principal contractors to determine whether we can use existing facilities or need to provide our own. When we establish our own facilities, they'll be in place from day one and positioned appropriately following consultation with the client or principal designer about the most suitable location.</w:t>
      </w:r>
    </w:p>
    <w:p w14:paraId="616B5188" w14:textId="77777777" w:rsidR="00742D05" w:rsidRDefault="00000000">
      <w:pPr>
        <w:spacing w:after="120"/>
      </w:pPr>
      <w:r>
        <w:t>Our standard welfare provision includes toilet facilities with hot and cold running water, wash basins with soap and towels, barrier creams for skin protection, heated rest areas with tables and chairs, facilities for preparing and storing food including refrigeration, means of boiling water, drinking water supplies, secure storage for personal belongings, and appropriate changing areas. These facilities will always be within reasonable distance of the work area and maintained to a high standard throughout the project. For sites where we're working alongside other contractors, we'll coordinate welfare provision to avoid duplication while ensuring adequate capacity for all workers.</w:t>
      </w:r>
    </w:p>
    <w:p w14:paraId="6D23BD5F" w14:textId="77777777" w:rsidR="00742D05" w:rsidRDefault="00000000">
      <w:pPr>
        <w:spacing w:after="120"/>
      </w:pPr>
      <w:r>
        <w:t xml:space="preserve">When undertaking transient work such as emergency repairs or short-duration connections where fixed welfare isn't practical, we equip our vehicles with alternative provisions. This includes portable washing facilities with hot water, hand wipes and sanitizers, soap and paper towels, 12V kettles for hot drinks, first aid supplies, and information about the nearest available toilet facilities. Where client facilities can be accessed, we'll arrange this in advance, and when return to depot is necessary for welfare breaks, we'll build appropriate time into our work schedules. Our supervisors ensure </w:t>
      </w:r>
      <w:proofErr w:type="gramStart"/>
      <w:r>
        <w:t>these mobile welfare</w:t>
      </w:r>
      <w:proofErr w:type="gramEnd"/>
      <w:r>
        <w:t xml:space="preserve"> provisions are regularly checked and restocked.</w:t>
      </w:r>
    </w:p>
    <w:p w14:paraId="0F24E618" w14:textId="77777777" w:rsidR="00742D05" w:rsidRDefault="00000000">
      <w:pPr>
        <w:pStyle w:val="Heading2"/>
        <w:spacing w:before="240" w:after="120"/>
      </w:pPr>
      <w:r>
        <w:t>Implementation and Monitoring</w:t>
      </w:r>
    </w:p>
    <w:p w14:paraId="159BCE82" w14:textId="77777777" w:rsidR="00742D05" w:rsidRDefault="00000000">
      <w:pPr>
        <w:spacing w:after="120"/>
      </w:pPr>
      <w:r>
        <w:t>Directors provide adequate budget for welfare facilities and ensure compliance during site visits. Site supervisors check welfare provisions daily, maintaining cleanliness and addressing any deficiencies immediately. We keep records of welfare assessments and any agreements regarding shared facilities. Regular feedback from our workforce helps identify improvements, and welfare standards form part of our monthly health and safety reviews.</w:t>
      </w:r>
    </w:p>
    <w:p w14:paraId="154E1603" w14:textId="77777777" w:rsidR="00742D05" w:rsidRDefault="00000000">
      <w:pPr>
        <w:pStyle w:val="Heading2"/>
        <w:spacing w:before="240" w:after="120"/>
      </w:pPr>
      <w:r>
        <w:lastRenderedPageBreak/>
        <w:t>Responsibilities</w:t>
      </w:r>
    </w:p>
    <w:p w14:paraId="6FAF4130" w14:textId="77777777" w:rsidR="00742D05" w:rsidRDefault="00000000">
      <w:pPr>
        <w:spacing w:after="120"/>
      </w:pPr>
      <w:r>
        <w:t>Aaron Mason as Director holds overall responsibility for ensuring adequate welfare provision across all company operations. Project managers must complete welfare assessments before work commences and arrange suitable facilities whether company-provided or shared. Supervisors monitor daily welfare standards and report any issues requiring attention. All employees have a responsibility to use facilities respectfully and report any problems or shortages promptly.</w:t>
      </w:r>
    </w:p>
    <w:p w14:paraId="3164AEF2" w14:textId="77777777" w:rsidR="00742D05" w:rsidRDefault="00000000">
      <w:pPr>
        <w:pStyle w:val="Heading2"/>
        <w:spacing w:before="240" w:after="120"/>
      </w:pPr>
      <w:r>
        <w:t>Review</w:t>
      </w:r>
    </w:p>
    <w:p w14:paraId="7E9851F4" w14:textId="77777777" w:rsidR="00742D05" w:rsidRDefault="00000000">
      <w:pPr>
        <w:spacing w:after="120"/>
      </w:pPr>
      <w:r>
        <w:t>This policy will be reviewed annually by the Directors to ensure it remains effective and continues to support workforce wellbeing through appropriate welfare standards across all our operations.</w:t>
      </w:r>
    </w:p>
    <w:p w14:paraId="348CE7E4" w14:textId="77777777" w:rsidR="00742D05" w:rsidRDefault="00742D05">
      <w:pPr>
        <w:spacing w:before="240"/>
      </w:pPr>
    </w:p>
    <w:p w14:paraId="1CA8DF09" w14:textId="77777777" w:rsidR="00742D05" w:rsidRDefault="00000000">
      <w:pPr>
        <w:spacing w:after="120"/>
      </w:pPr>
      <w:r>
        <w:rPr>
          <w:b/>
          <w:bCs/>
        </w:rPr>
        <w:t>Signed:</w:t>
      </w:r>
    </w:p>
    <w:p w14:paraId="15812182" w14:textId="77777777" w:rsidR="00742D05" w:rsidRDefault="00000000">
      <w:pPr>
        <w:spacing w:after="40"/>
      </w:pPr>
      <w:r>
        <w:rPr>
          <w:b/>
          <w:bCs/>
        </w:rPr>
        <w:t>Aaron Mason</w:t>
      </w:r>
    </w:p>
    <w:p w14:paraId="15EF2569" w14:textId="77777777" w:rsidR="00742D05" w:rsidRDefault="00000000">
      <w:pPr>
        <w:spacing w:after="40"/>
      </w:pPr>
      <w:r>
        <w:t>Director</w:t>
      </w:r>
    </w:p>
    <w:p w14:paraId="127AF4EE" w14:textId="77777777" w:rsidR="00742D05" w:rsidRDefault="00000000">
      <w:pPr>
        <w:spacing w:after="40"/>
      </w:pPr>
      <w:r>
        <w:t>A M Water Services Ltd</w:t>
      </w:r>
    </w:p>
    <w:p w14:paraId="12130264" w14:textId="01266B1E" w:rsidR="00CD2D88" w:rsidRDefault="00000000" w:rsidP="00CD2D88">
      <w:r>
        <w:t>1st July 2025</w:t>
      </w:r>
    </w:p>
    <w:p w14:paraId="76A9A693" w14:textId="19A81F92" w:rsidR="00742D05" w:rsidRDefault="00742D05"/>
    <w:sectPr w:rsidR="00742D05">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B7C7" w14:textId="77777777" w:rsidR="00653D1E" w:rsidRDefault="00653D1E" w:rsidP="00CD2D88">
      <w:r>
        <w:separator/>
      </w:r>
    </w:p>
  </w:endnote>
  <w:endnote w:type="continuationSeparator" w:id="0">
    <w:p w14:paraId="01E2183F" w14:textId="77777777" w:rsidR="00653D1E" w:rsidRDefault="00653D1E" w:rsidP="00CD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8" w:name="_Hlk219904168" w:displacedByCustomXml="next"/>
  <w:bookmarkStart w:id="79" w:name="OLE_LINK110" w:displacedByCustomXml="next"/>
  <w:bookmarkStart w:id="80" w:name="OLE_LINK109" w:displacedByCustomXml="next"/>
  <w:bookmarkStart w:id="81" w:name="_Hlk219904143" w:displacedByCustomXml="next"/>
  <w:bookmarkStart w:id="82" w:name="OLE_LINK106" w:displacedByCustomXml="next"/>
  <w:bookmarkStart w:id="83" w:name="OLE_LINK105" w:displacedByCustomXml="next"/>
  <w:bookmarkStart w:id="84" w:name="_Hlk219904099" w:displacedByCustomXml="next"/>
  <w:bookmarkStart w:id="85" w:name="OLE_LINK102" w:displacedByCustomXml="next"/>
  <w:bookmarkStart w:id="86" w:name="OLE_LINK101" w:displacedByCustomXml="next"/>
  <w:bookmarkStart w:id="87" w:name="_Hlk219904068" w:displacedByCustomXml="next"/>
  <w:bookmarkStart w:id="88" w:name="OLE_LINK98" w:displacedByCustomXml="next"/>
  <w:bookmarkStart w:id="89" w:name="OLE_LINK97" w:displacedByCustomXml="next"/>
  <w:bookmarkStart w:id="90" w:name="_Hlk219904038" w:displacedByCustomXml="next"/>
  <w:bookmarkStart w:id="91" w:name="OLE_LINK94" w:displacedByCustomXml="next"/>
  <w:bookmarkStart w:id="92" w:name="OLE_LINK93" w:displacedByCustomXml="next"/>
  <w:bookmarkStart w:id="93" w:name="_Hlk219903908" w:displacedByCustomXml="next"/>
  <w:bookmarkStart w:id="94" w:name="OLE_LINK90" w:displacedByCustomXml="next"/>
  <w:bookmarkStart w:id="95" w:name="OLE_LINK89" w:displacedByCustomXml="next"/>
  <w:bookmarkStart w:id="96" w:name="_Hlk219903859" w:displacedByCustomXml="next"/>
  <w:bookmarkStart w:id="97" w:name="OLE_LINK86" w:displacedByCustomXml="next"/>
  <w:bookmarkStart w:id="98" w:name="OLE_LINK85" w:displacedByCustomXml="next"/>
  <w:bookmarkStart w:id="99" w:name="_Hlk219903795" w:displacedByCustomXml="next"/>
  <w:bookmarkStart w:id="100" w:name="OLE_LINK82" w:displacedByCustomXml="next"/>
  <w:bookmarkStart w:id="101" w:name="OLE_LINK81" w:displacedByCustomXml="next"/>
  <w:bookmarkStart w:id="102" w:name="_Hlk219903728" w:displacedByCustomXml="next"/>
  <w:bookmarkStart w:id="103" w:name="OLE_LINK78" w:displacedByCustomXml="next"/>
  <w:bookmarkStart w:id="104" w:name="OLE_LINK77" w:displacedByCustomXml="next"/>
  <w:bookmarkStart w:id="105" w:name="_Hlk219903685" w:displacedByCustomXml="next"/>
  <w:bookmarkStart w:id="106" w:name="OLE_LINK74" w:displacedByCustomXml="next"/>
  <w:bookmarkStart w:id="107" w:name="OLE_LINK73" w:displacedByCustomXml="next"/>
  <w:bookmarkStart w:id="108" w:name="_Hlk219903643" w:displacedByCustomXml="next"/>
  <w:bookmarkStart w:id="109" w:name="OLE_LINK70" w:displacedByCustomXml="next"/>
  <w:bookmarkStart w:id="110" w:name="OLE_LINK69" w:displacedByCustomXml="next"/>
  <w:bookmarkStart w:id="111" w:name="_Hlk219903600" w:displacedByCustomXml="next"/>
  <w:bookmarkStart w:id="112" w:name="OLE_LINK66" w:displacedByCustomXml="next"/>
  <w:bookmarkStart w:id="113" w:name="OLE_LINK65" w:displacedByCustomXml="next"/>
  <w:bookmarkStart w:id="114" w:name="_Hlk219903549" w:displacedByCustomXml="next"/>
  <w:bookmarkStart w:id="115" w:name="OLE_LINK62" w:displacedByCustomXml="next"/>
  <w:bookmarkStart w:id="116" w:name="OLE_LINK61" w:displacedByCustomXml="next"/>
  <w:bookmarkStart w:id="117" w:name="_Hlk219903515" w:displacedByCustomXml="next"/>
  <w:bookmarkStart w:id="118" w:name="OLE_LINK58" w:displacedByCustomXml="next"/>
  <w:bookmarkStart w:id="119" w:name="OLE_LINK57" w:displacedByCustomXml="next"/>
  <w:bookmarkStart w:id="120" w:name="_Hlk219903482" w:displacedByCustomXml="next"/>
  <w:bookmarkStart w:id="121" w:name="OLE_LINK54" w:displacedByCustomXml="next"/>
  <w:bookmarkStart w:id="122" w:name="OLE_LINK53" w:displacedByCustomXml="next"/>
  <w:bookmarkStart w:id="123" w:name="_Hlk219903432" w:displacedByCustomXml="next"/>
  <w:bookmarkStart w:id="124" w:name="OLE_LINK50" w:displacedByCustomXml="next"/>
  <w:bookmarkStart w:id="125" w:name="OLE_LINK49" w:displacedByCustomXml="next"/>
  <w:bookmarkStart w:id="126" w:name="_Hlk219903347" w:displacedByCustomXml="next"/>
  <w:bookmarkStart w:id="127" w:name="OLE_LINK44" w:displacedByCustomXml="next"/>
  <w:bookmarkStart w:id="128" w:name="OLE_LINK43" w:displacedByCustomXml="next"/>
  <w:bookmarkStart w:id="129" w:name="_Hlk219903319" w:displacedByCustomXml="next"/>
  <w:bookmarkStart w:id="130" w:name="OLE_LINK40" w:displacedByCustomXml="next"/>
  <w:bookmarkStart w:id="131" w:name="OLE_LINK39" w:displacedByCustomXml="next"/>
  <w:bookmarkStart w:id="132" w:name="_Hlk219903285" w:displacedByCustomXml="next"/>
  <w:bookmarkStart w:id="133" w:name="OLE_LINK36" w:displacedByCustomXml="next"/>
  <w:bookmarkStart w:id="134" w:name="OLE_LINK35" w:displacedByCustomXml="next"/>
  <w:bookmarkStart w:id="135" w:name="_Hlk219903237" w:displacedByCustomXml="next"/>
  <w:bookmarkStart w:id="136" w:name="OLE_LINK32" w:displacedByCustomXml="next"/>
  <w:bookmarkStart w:id="137" w:name="OLE_LINK31" w:displacedByCustomXml="next"/>
  <w:bookmarkStart w:id="138" w:name="_Hlk219903185" w:displacedByCustomXml="next"/>
  <w:bookmarkStart w:id="139" w:name="OLE_LINK28" w:displacedByCustomXml="next"/>
  <w:bookmarkStart w:id="140" w:name="OLE_LINK27" w:displacedByCustomXml="next"/>
  <w:bookmarkStart w:id="141" w:name="_Hlk219903139" w:displacedByCustomXml="next"/>
  <w:bookmarkStart w:id="142" w:name="OLE_LINK24" w:displacedByCustomXml="next"/>
  <w:bookmarkStart w:id="143" w:name="OLE_LINK23" w:displacedByCustomXml="next"/>
  <w:bookmarkStart w:id="144" w:name="_Hlk219903062" w:displacedByCustomXml="next"/>
  <w:bookmarkStart w:id="145" w:name="OLE_LINK20" w:displacedByCustomXml="next"/>
  <w:bookmarkStart w:id="146" w:name="OLE_LINK19" w:displacedByCustomXml="next"/>
  <w:bookmarkStart w:id="147" w:name="_Hlk219903009" w:displacedByCustomXml="next"/>
  <w:bookmarkStart w:id="148" w:name="OLE_LINK16" w:displacedByCustomXml="next"/>
  <w:bookmarkStart w:id="149" w:name="OLE_LINK15" w:displacedByCustomXml="next"/>
  <w:bookmarkStart w:id="150" w:name="_Hlk219902920" w:displacedByCustomXml="next"/>
  <w:bookmarkStart w:id="151" w:name="OLE_LINK12" w:displacedByCustomXml="next"/>
  <w:bookmarkStart w:id="152" w:name="OLE_LINK11" w:displacedByCustomXml="next"/>
  <w:sdt>
    <w:sdtPr>
      <w:rPr>
        <w:rStyle w:val="PageNumber"/>
      </w:rPr>
      <w:id w:val="-157921668"/>
      <w:docPartObj>
        <w:docPartGallery w:val="Page Numbers (Bottom of Page)"/>
        <w:docPartUnique/>
      </w:docPartObj>
    </w:sdtPr>
    <w:sdtContent>
      <w:p w14:paraId="7EA50DB3" w14:textId="77777777" w:rsidR="00CD2D88" w:rsidRDefault="00CD2D88" w:rsidP="00CD2D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32E51CC0" w14:textId="4C5E65A2" w:rsidR="00CD2D88" w:rsidRDefault="00CD2D88" w:rsidP="00CD2D88">
    <w:pPr>
      <w:pStyle w:val="FirstParagraph"/>
      <w:ind w:right="360"/>
    </w:pPr>
    <w:r>
      <w:t>Document Reference: POL_HSQE_2</w:t>
    </w:r>
    <w:r>
      <w:t>6</w:t>
    </w:r>
    <w:r>
      <w:t xml:space="preserve"> | Revision: 3 | Date: 1st July 2025</w:t>
    </w:r>
    <w:r>
      <w:br/>
      <w:t>Next Review: 1st July 2026 | Uncontrolled when printed</w:t>
    </w:r>
    <w:bookmarkEnd w:id="152"/>
    <w:bookmarkEnd w:id="151"/>
    <w:bookmarkEnd w:id="150"/>
    <w:bookmarkEnd w:id="149"/>
    <w:bookmarkEnd w:id="148"/>
    <w:bookmarkEnd w:id="147"/>
    <w:bookmarkEnd w:id="146"/>
    <w:bookmarkEnd w:id="145"/>
    <w:bookmarkEnd w:id="144"/>
    <w:bookmarkEnd w:id="143"/>
    <w:bookmarkEnd w:id="142"/>
    <w:bookmarkEnd w:id="141"/>
    <w:bookmarkEnd w:id="140"/>
    <w:bookmarkEnd w:id="139"/>
    <w:bookmarkEnd w:id="138"/>
    <w:bookmarkEnd w:id="137"/>
    <w:bookmarkEnd w:id="136"/>
    <w:bookmarkEnd w:id="135"/>
    <w:bookmarkEnd w:id="134"/>
    <w:bookmarkEnd w:id="133"/>
    <w:bookmarkEnd w:id="132"/>
    <w:bookmarkEnd w:id="131"/>
    <w:bookmarkEnd w:id="130"/>
    <w:bookmarkEnd w:id="129"/>
    <w:bookmarkEnd w:id="128"/>
    <w:bookmarkEnd w:id="127"/>
    <w:bookmarkEnd w:id="126"/>
    <w:bookmarkEnd w:id="125"/>
    <w:bookmarkEnd w:id="124"/>
    <w:bookmarkEnd w:id="123"/>
    <w:bookmarkEnd w:id="122"/>
    <w:bookmarkEnd w:id="121"/>
    <w:bookmarkEnd w:id="120"/>
    <w:bookmarkEnd w:id="119"/>
    <w:bookmarkEnd w:id="118"/>
    <w:bookmarkEnd w:id="117"/>
    <w:bookmarkEnd w:id="116"/>
    <w:bookmarkEnd w:id="115"/>
    <w:bookmarkEnd w:id="114"/>
    <w:bookmarkEnd w:id="113"/>
    <w:bookmarkEnd w:id="112"/>
    <w:bookmarkEnd w:id="111"/>
    <w:bookmarkEnd w:id="110"/>
    <w:bookmarkEnd w:id="109"/>
    <w:bookmarkEnd w:id="108"/>
    <w:bookmarkEnd w:id="107"/>
    <w:bookmarkEnd w:id="106"/>
    <w:bookmarkEnd w:id="105"/>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A1BB" w14:textId="77777777" w:rsidR="00653D1E" w:rsidRDefault="00653D1E" w:rsidP="00CD2D88">
      <w:r>
        <w:separator/>
      </w:r>
    </w:p>
  </w:footnote>
  <w:footnote w:type="continuationSeparator" w:id="0">
    <w:p w14:paraId="58E598D8" w14:textId="77777777" w:rsidR="00653D1E" w:rsidRDefault="00653D1E" w:rsidP="00CD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F5A4" w14:textId="77777777" w:rsidR="00CD2D88" w:rsidRPr="001A76A4" w:rsidRDefault="00CD2D88" w:rsidP="00CD2D88">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bookmarkStart w:id="39" w:name="OLE_LINK59"/>
    <w:bookmarkStart w:id="40" w:name="OLE_LINK60"/>
    <w:bookmarkStart w:id="41" w:name="_Hlk219903541"/>
    <w:bookmarkStart w:id="42" w:name="OLE_LINK63"/>
    <w:bookmarkStart w:id="43" w:name="OLE_LINK64"/>
    <w:bookmarkStart w:id="44" w:name="_Hlk219903590"/>
    <w:bookmarkStart w:id="45" w:name="OLE_LINK67"/>
    <w:bookmarkStart w:id="46" w:name="OLE_LINK68"/>
    <w:bookmarkStart w:id="47" w:name="_Hlk219903629"/>
    <w:bookmarkStart w:id="48" w:name="OLE_LINK71"/>
    <w:bookmarkStart w:id="49" w:name="OLE_LINK72"/>
    <w:bookmarkStart w:id="50" w:name="_Hlk219903678"/>
    <w:bookmarkStart w:id="51" w:name="OLE_LINK75"/>
    <w:bookmarkStart w:id="52" w:name="OLE_LINK76"/>
    <w:bookmarkStart w:id="53" w:name="_Hlk219903720"/>
    <w:bookmarkStart w:id="54" w:name="OLE_LINK79"/>
    <w:bookmarkStart w:id="55" w:name="OLE_LINK80"/>
    <w:bookmarkStart w:id="56" w:name="_Hlk219903785"/>
    <w:bookmarkStart w:id="57" w:name="OLE_LINK83"/>
    <w:bookmarkStart w:id="58" w:name="OLE_LINK84"/>
    <w:bookmarkStart w:id="59" w:name="_Hlk219903832"/>
    <w:bookmarkStart w:id="60" w:name="OLE_LINK87"/>
    <w:bookmarkStart w:id="61" w:name="OLE_LINK88"/>
    <w:bookmarkStart w:id="62" w:name="_Hlk219903896"/>
    <w:bookmarkStart w:id="63" w:name="OLE_LINK91"/>
    <w:bookmarkStart w:id="64" w:name="OLE_LINK92"/>
    <w:bookmarkStart w:id="65" w:name="_Hlk219904031"/>
    <w:bookmarkStart w:id="66" w:name="OLE_LINK95"/>
    <w:bookmarkStart w:id="67" w:name="OLE_LINK96"/>
    <w:bookmarkStart w:id="68" w:name="_Hlk219904061"/>
    <w:bookmarkStart w:id="69" w:name="OLE_LINK99"/>
    <w:bookmarkStart w:id="70" w:name="OLE_LINK100"/>
    <w:bookmarkStart w:id="71" w:name="_Hlk219904093"/>
    <w:bookmarkStart w:id="72" w:name="OLE_LINK103"/>
    <w:bookmarkStart w:id="73" w:name="OLE_LINK104"/>
    <w:bookmarkStart w:id="74" w:name="_Hlk219904127"/>
    <w:bookmarkStart w:id="75" w:name="OLE_LINK107"/>
    <w:bookmarkStart w:id="76" w:name="OLE_LINK108"/>
    <w:bookmarkStart w:id="77" w:name="_Hlk219904159"/>
    <w:r>
      <w:tab/>
    </w:r>
    <w:r>
      <w:rPr>
        <w:noProof/>
      </w:rPr>
      <w:drawing>
        <wp:inline distT="0" distB="0" distL="0" distR="0" wp14:anchorId="0496C50E" wp14:editId="27124E47">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084619AE" w14:textId="77777777" w:rsidR="00CD2D88" w:rsidRDefault="00CD2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D05"/>
    <w:multiLevelType w:val="hybridMultilevel"/>
    <w:tmpl w:val="15606854"/>
    <w:lvl w:ilvl="0" w:tplc="E73805E6">
      <w:start w:val="1"/>
      <w:numFmt w:val="bullet"/>
      <w:lvlText w:val="•"/>
      <w:lvlJc w:val="left"/>
      <w:pPr>
        <w:ind w:left="720" w:hanging="360"/>
      </w:pPr>
    </w:lvl>
    <w:lvl w:ilvl="1" w:tplc="B07E8886">
      <w:numFmt w:val="decimal"/>
      <w:lvlText w:val=""/>
      <w:lvlJc w:val="left"/>
    </w:lvl>
    <w:lvl w:ilvl="2" w:tplc="06C2C146">
      <w:numFmt w:val="decimal"/>
      <w:lvlText w:val=""/>
      <w:lvlJc w:val="left"/>
    </w:lvl>
    <w:lvl w:ilvl="3" w:tplc="23AE26C2">
      <w:numFmt w:val="decimal"/>
      <w:lvlText w:val=""/>
      <w:lvlJc w:val="left"/>
    </w:lvl>
    <w:lvl w:ilvl="4" w:tplc="44FA9652">
      <w:numFmt w:val="decimal"/>
      <w:lvlText w:val=""/>
      <w:lvlJc w:val="left"/>
    </w:lvl>
    <w:lvl w:ilvl="5" w:tplc="524EFFE6">
      <w:numFmt w:val="decimal"/>
      <w:lvlText w:val=""/>
      <w:lvlJc w:val="left"/>
    </w:lvl>
    <w:lvl w:ilvl="6" w:tplc="C92AD72E">
      <w:numFmt w:val="decimal"/>
      <w:lvlText w:val=""/>
      <w:lvlJc w:val="left"/>
    </w:lvl>
    <w:lvl w:ilvl="7" w:tplc="9140D15E">
      <w:numFmt w:val="decimal"/>
      <w:lvlText w:val=""/>
      <w:lvlJc w:val="left"/>
    </w:lvl>
    <w:lvl w:ilvl="8" w:tplc="97B21256">
      <w:numFmt w:val="decimal"/>
      <w:lvlText w:val=""/>
      <w:lvlJc w:val="left"/>
    </w:lvl>
  </w:abstractNum>
  <w:abstractNum w:abstractNumId="1" w15:restartNumberingAfterBreak="0">
    <w:nsid w:val="50964325"/>
    <w:multiLevelType w:val="hybridMultilevel"/>
    <w:tmpl w:val="32625E44"/>
    <w:lvl w:ilvl="0" w:tplc="C190261A">
      <w:start w:val="1"/>
      <w:numFmt w:val="bullet"/>
      <w:lvlText w:val="●"/>
      <w:lvlJc w:val="left"/>
      <w:pPr>
        <w:ind w:left="720" w:hanging="360"/>
      </w:pPr>
    </w:lvl>
    <w:lvl w:ilvl="1" w:tplc="F7728626">
      <w:start w:val="1"/>
      <w:numFmt w:val="bullet"/>
      <w:lvlText w:val="○"/>
      <w:lvlJc w:val="left"/>
      <w:pPr>
        <w:ind w:left="1440" w:hanging="360"/>
      </w:pPr>
    </w:lvl>
    <w:lvl w:ilvl="2" w:tplc="C1B4C2D0">
      <w:start w:val="1"/>
      <w:numFmt w:val="bullet"/>
      <w:lvlText w:val="■"/>
      <w:lvlJc w:val="left"/>
      <w:pPr>
        <w:ind w:left="2160" w:hanging="360"/>
      </w:pPr>
    </w:lvl>
    <w:lvl w:ilvl="3" w:tplc="2A067374">
      <w:start w:val="1"/>
      <w:numFmt w:val="bullet"/>
      <w:lvlText w:val="●"/>
      <w:lvlJc w:val="left"/>
      <w:pPr>
        <w:ind w:left="2880" w:hanging="360"/>
      </w:pPr>
    </w:lvl>
    <w:lvl w:ilvl="4" w:tplc="B7BA0794">
      <w:start w:val="1"/>
      <w:numFmt w:val="bullet"/>
      <w:lvlText w:val="○"/>
      <w:lvlJc w:val="left"/>
      <w:pPr>
        <w:ind w:left="3600" w:hanging="360"/>
      </w:pPr>
    </w:lvl>
    <w:lvl w:ilvl="5" w:tplc="2D64BFCA">
      <w:start w:val="1"/>
      <w:numFmt w:val="bullet"/>
      <w:lvlText w:val="■"/>
      <w:lvlJc w:val="left"/>
      <w:pPr>
        <w:ind w:left="4320" w:hanging="360"/>
      </w:pPr>
    </w:lvl>
    <w:lvl w:ilvl="6" w:tplc="54F6F3AC">
      <w:start w:val="1"/>
      <w:numFmt w:val="bullet"/>
      <w:lvlText w:val="●"/>
      <w:lvlJc w:val="left"/>
      <w:pPr>
        <w:ind w:left="5040" w:hanging="360"/>
      </w:pPr>
    </w:lvl>
    <w:lvl w:ilvl="7" w:tplc="CF2E92EC">
      <w:start w:val="1"/>
      <w:numFmt w:val="bullet"/>
      <w:lvlText w:val="●"/>
      <w:lvlJc w:val="left"/>
      <w:pPr>
        <w:ind w:left="5760" w:hanging="360"/>
      </w:pPr>
    </w:lvl>
    <w:lvl w:ilvl="8" w:tplc="D562B69A">
      <w:start w:val="1"/>
      <w:numFmt w:val="bullet"/>
      <w:lvlText w:val="●"/>
      <w:lvlJc w:val="left"/>
      <w:pPr>
        <w:ind w:left="6480" w:hanging="360"/>
      </w:pPr>
    </w:lvl>
  </w:abstractNum>
  <w:num w:numId="1" w16cid:durableId="118721626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D05"/>
    <w:rsid w:val="00653D1E"/>
    <w:rsid w:val="00742D05"/>
    <w:rsid w:val="00CD2D88"/>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174B00"/>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CD2D88"/>
    <w:pPr>
      <w:tabs>
        <w:tab w:val="center" w:pos="4513"/>
        <w:tab w:val="right" w:pos="9026"/>
      </w:tabs>
    </w:pPr>
  </w:style>
  <w:style w:type="character" w:customStyle="1" w:styleId="HeaderChar">
    <w:name w:val="Header Char"/>
    <w:basedOn w:val="DefaultParagraphFont"/>
    <w:link w:val="Header"/>
    <w:rsid w:val="00CD2D88"/>
  </w:style>
  <w:style w:type="paragraph" w:styleId="Footer">
    <w:name w:val="footer"/>
    <w:basedOn w:val="Normal"/>
    <w:link w:val="FooterChar"/>
    <w:unhideWhenUsed/>
    <w:rsid w:val="00CD2D88"/>
    <w:pPr>
      <w:tabs>
        <w:tab w:val="center" w:pos="4513"/>
        <w:tab w:val="right" w:pos="9026"/>
      </w:tabs>
    </w:pPr>
  </w:style>
  <w:style w:type="character" w:customStyle="1" w:styleId="FooterChar">
    <w:name w:val="Footer Char"/>
    <w:basedOn w:val="DefaultParagraphFont"/>
    <w:link w:val="Footer"/>
    <w:rsid w:val="00CD2D88"/>
  </w:style>
  <w:style w:type="paragraph" w:customStyle="1" w:styleId="FirstParagraph">
    <w:name w:val="First Paragraph"/>
    <w:basedOn w:val="BodyText"/>
    <w:next w:val="BodyText"/>
    <w:qFormat/>
    <w:rsid w:val="00CD2D88"/>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CD2D88"/>
  </w:style>
  <w:style w:type="paragraph" w:styleId="BodyText">
    <w:name w:val="Body Text"/>
    <w:basedOn w:val="Normal"/>
    <w:link w:val="BodyTextChar"/>
    <w:uiPriority w:val="99"/>
    <w:semiHidden/>
    <w:unhideWhenUsed/>
    <w:rsid w:val="00CD2D88"/>
    <w:pPr>
      <w:spacing w:after="120"/>
    </w:pPr>
  </w:style>
  <w:style w:type="character" w:customStyle="1" w:styleId="BodyTextChar">
    <w:name w:val="Body Text Char"/>
    <w:basedOn w:val="DefaultParagraphFont"/>
    <w:link w:val="BodyText"/>
    <w:uiPriority w:val="99"/>
    <w:semiHidden/>
    <w:rsid w:val="00CD2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462326-90C2-4081-BB02-074DCBDA372B}"/>
</file>

<file path=customXml/itemProps2.xml><?xml version="1.0" encoding="utf-8"?>
<ds:datastoreItem xmlns:ds="http://schemas.openxmlformats.org/officeDocument/2006/customXml" ds:itemID="{FCCD7732-C448-42BE-941E-E1433D92DEAA}"/>
</file>

<file path=customXml/itemProps3.xml><?xml version="1.0" encoding="utf-8"?>
<ds:datastoreItem xmlns:ds="http://schemas.openxmlformats.org/officeDocument/2006/customXml" ds:itemID="{D8DFAC21-1724-4CA5-85C5-76210A78FC78}"/>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