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F9178" w14:textId="77777777" w:rsidR="00E370B1" w:rsidRDefault="00000000">
      <w:pPr>
        <w:spacing w:after="400"/>
        <w:jc w:val="center"/>
      </w:pPr>
      <w:r>
        <w:rPr>
          <w:b/>
          <w:bCs/>
          <w:color w:val="1B5E7D"/>
          <w:sz w:val="36"/>
          <w:szCs w:val="36"/>
        </w:rPr>
        <w:t>WORKING NEAR OPEN WATER POLICY</w:t>
      </w:r>
    </w:p>
    <w:p w14:paraId="195C619E" w14:textId="77777777" w:rsidR="00E370B1" w:rsidRDefault="00000000">
      <w:pPr>
        <w:spacing w:before="300" w:after="150"/>
      </w:pPr>
      <w:r>
        <w:rPr>
          <w:b/>
          <w:bCs/>
          <w:color w:val="1B5E7D"/>
          <w:sz w:val="26"/>
          <w:szCs w:val="26"/>
        </w:rPr>
        <w:t>Purpose</w:t>
      </w:r>
    </w:p>
    <w:p w14:paraId="0819A6A5" w14:textId="77777777" w:rsidR="00E370B1" w:rsidRDefault="00000000">
      <w:pPr>
        <w:spacing w:after="150"/>
        <w:jc w:val="both"/>
      </w:pPr>
      <w:r>
        <w:t>This policy establishes safe working practices to protect our workforce from drowning and water-related hazards when working on or near open water bodies. Given the nature of water infrastructure work, our teams may occasionally work near rivers, canals, reservoirs, lakes, ponds, or other watercourses where drowning risks exist.</w:t>
      </w:r>
    </w:p>
    <w:p w14:paraId="5B1ABCEA" w14:textId="77777777" w:rsidR="00E370B1" w:rsidRDefault="00000000">
      <w:pPr>
        <w:spacing w:before="300" w:after="150"/>
      </w:pPr>
      <w:r>
        <w:rPr>
          <w:b/>
          <w:bCs/>
          <w:color w:val="1B5E7D"/>
          <w:sz w:val="26"/>
          <w:szCs w:val="26"/>
        </w:rPr>
        <w:t>Scope</w:t>
      </w:r>
    </w:p>
    <w:p w14:paraId="2BCE46F5" w14:textId="77777777" w:rsidR="00E370B1" w:rsidRDefault="00000000">
      <w:pPr>
        <w:spacing w:after="150"/>
        <w:jc w:val="both"/>
      </w:pPr>
      <w:r>
        <w:t>This policy applies to all employees, directors, contractors, and visitors undertaking work activities within 2 metres of any open water body at A M Water Services Ltd sites, including work near rivers, streams, canals, reservoirs, lakes, ponds, flooded excavations, and any other body of water presenting a drowning hazard.</w:t>
      </w:r>
    </w:p>
    <w:p w14:paraId="2384F8B3" w14:textId="77777777" w:rsidR="00E370B1" w:rsidRDefault="00000000">
      <w:pPr>
        <w:spacing w:before="300" w:after="150"/>
      </w:pPr>
      <w:r>
        <w:rPr>
          <w:b/>
          <w:bCs/>
          <w:color w:val="1B5E7D"/>
          <w:sz w:val="26"/>
          <w:szCs w:val="26"/>
        </w:rPr>
        <w:t>Legal Requirements</w:t>
      </w:r>
    </w:p>
    <w:p w14:paraId="3F45C0BF" w14:textId="77777777" w:rsidR="00E370B1" w:rsidRDefault="00000000">
      <w:pPr>
        <w:spacing w:after="150"/>
        <w:jc w:val="both"/>
      </w:pPr>
      <w:r>
        <w:t>This policy ensures compliance with the Health and Safety at Work Act 1974, Construction (Design and Management) Regulations 2015, Work at Height Regulations 2005 (which apply to work near water where there is a risk of falling), and the Management of Health and Safety at Work Regulations 1999.</w:t>
      </w:r>
    </w:p>
    <w:p w14:paraId="7200316E" w14:textId="77777777" w:rsidR="00E370B1" w:rsidRDefault="00000000">
      <w:pPr>
        <w:spacing w:before="300" w:after="150"/>
      </w:pPr>
      <w:r>
        <w:rPr>
          <w:b/>
          <w:bCs/>
          <w:color w:val="1B5E7D"/>
          <w:sz w:val="26"/>
          <w:szCs w:val="26"/>
        </w:rPr>
        <w:t>Policy Statement</w:t>
      </w:r>
    </w:p>
    <w:p w14:paraId="0C754532" w14:textId="77777777" w:rsidR="00E370B1" w:rsidRDefault="00000000">
      <w:pPr>
        <w:spacing w:after="150"/>
        <w:jc w:val="both"/>
      </w:pPr>
      <w:r>
        <w:t xml:space="preserve">We recognise that working near water presents serious risks including drowning, hypothermia, and Weil's disease (leptospirosis). Even shallow or slow-moving water can be fatal, particularly when combined with cold temperatures, hidden currents, or underwater obstructions. Our approach prioritises avoiding work near water where </w:t>
      </w:r>
      <w:proofErr w:type="gramStart"/>
      <w:r>
        <w:t>possible, and</w:t>
      </w:r>
      <w:proofErr w:type="gramEnd"/>
      <w:r>
        <w:t xml:space="preserve"> implementing robust controls when such work is necessary.</w:t>
      </w:r>
    </w:p>
    <w:p w14:paraId="09EC48CA" w14:textId="77777777" w:rsidR="00E370B1" w:rsidRDefault="00000000">
      <w:pPr>
        <w:spacing w:after="150"/>
        <w:jc w:val="both"/>
      </w:pPr>
      <w:r>
        <w:t xml:space="preserve">Before any work commences near open water, Aaron Mason or a nominated competent person conducts a site-specific risk assessment identifying water hazards, access points, rescue arrangements, and emergency procedures. We never allow lone working within 2 metres of open water bodies. A minimum of two people must be present, with at least one designated as a safety watchperson who </w:t>
      </w:r>
      <w:proofErr w:type="gramStart"/>
      <w:r>
        <w:t>maintains visual contact with workers at all times</w:t>
      </w:r>
      <w:proofErr w:type="gramEnd"/>
      <w:r>
        <w:t xml:space="preserve"> and is trained in water rescue techniques.</w:t>
      </w:r>
    </w:p>
    <w:p w14:paraId="48B114A5" w14:textId="77777777" w:rsidR="00E370B1" w:rsidRDefault="00000000">
      <w:pPr>
        <w:spacing w:after="150"/>
        <w:jc w:val="both"/>
      </w:pPr>
      <w:r>
        <w:t>Personal Protective Equipment for work near water includes appropriate buoyancy aids or life jackets to EN ISO 12402 standard, which must be worn by all personnel working within 2 metres of water's edge. We provide self-inflating life jackets for work where buoyancy aids would restrict movement. All water-side PPE is inspected before each use and formally examined at intervals not exceeding 12 months.</w:t>
      </w:r>
    </w:p>
    <w:p w14:paraId="4C71DEAC" w14:textId="77777777" w:rsidR="00E370B1" w:rsidRDefault="00000000">
      <w:pPr>
        <w:spacing w:after="150"/>
        <w:jc w:val="both"/>
      </w:pPr>
      <w:r>
        <w:t>Rescue equipment must be immediately available at all work locations near water. This includes a minimum of one throw line (minimum 25 metres), one rescue pole or reach device, and access to a life ring. All personnel receive training in the use of rescue equipment and basic water rescue techniques. We maintain emergency contact details for the relevant emergency services including coastguard, fire service water rescue teams, and Environment Agency where applicable.</w:t>
      </w:r>
    </w:p>
    <w:p w14:paraId="4778596E" w14:textId="77777777" w:rsidR="00E370B1" w:rsidRDefault="00000000">
      <w:r>
        <w:br w:type="page"/>
      </w:r>
    </w:p>
    <w:p w14:paraId="6F0BAED8" w14:textId="77777777" w:rsidR="00E370B1" w:rsidRDefault="00000000">
      <w:pPr>
        <w:spacing w:after="150"/>
        <w:jc w:val="both"/>
      </w:pPr>
      <w:r>
        <w:lastRenderedPageBreak/>
        <w:t>Physical controls form an essential part of our approach. We install barriers, guardrails, or fencing to prevent accidental entry into water wherever practicable. Warning signs indicating water hazards are displayed prominently. We ensure adequate lighting for any work conducted in low-light conditions near water, and suspend operations during adverse weather including high winds, heavy rain, or flooding conditions that increase water-related risks.</w:t>
      </w:r>
    </w:p>
    <w:p w14:paraId="2E3F852A" w14:textId="77777777" w:rsidR="00E370B1" w:rsidRDefault="00000000">
      <w:pPr>
        <w:spacing w:after="150"/>
        <w:jc w:val="both"/>
      </w:pPr>
      <w:r>
        <w:t>All personnel working near water receive specific training covering water hazard awareness, use of buoyancy aids, rescue equipment operation, recognition of hypothermia and shock, and emergency response procedures. Refresher training is provided annually and following any water-related incident. We maintain records of all water safety training and ensure competency is verified before personnel are assigned to water-side work.</w:t>
      </w:r>
    </w:p>
    <w:p w14:paraId="55E456ED" w14:textId="77777777" w:rsidR="00E370B1" w:rsidRDefault="00000000">
      <w:pPr>
        <w:spacing w:before="300" w:after="150"/>
      </w:pPr>
      <w:r>
        <w:rPr>
          <w:b/>
          <w:bCs/>
          <w:color w:val="1B5E7D"/>
          <w:sz w:val="26"/>
          <w:szCs w:val="26"/>
        </w:rPr>
        <w:t>Implementation and Monitoring</w:t>
      </w:r>
    </w:p>
    <w:p w14:paraId="33E7A48E" w14:textId="77777777" w:rsidR="00E370B1" w:rsidRDefault="00000000">
      <w:pPr>
        <w:spacing w:after="150"/>
        <w:jc w:val="both"/>
      </w:pPr>
      <w:r>
        <w:t>This policy is implemented through comprehensive risk assessments for all work near water, provision of appropriate rescue equipment and PPE, specific water safety training for all affected personnel, and regular inspections of water-side work activities. Site supervisors conduct daily checks of rescue equipment and verify personnel are wearing appropriate buoyancy aids. Any near-miss incidents involving water hazards are reported and investigated to prevent recurrence.</w:t>
      </w:r>
    </w:p>
    <w:p w14:paraId="58A0A8FC" w14:textId="77777777" w:rsidR="00E370B1" w:rsidRDefault="00000000">
      <w:pPr>
        <w:spacing w:before="300" w:after="150"/>
      </w:pPr>
      <w:r>
        <w:rPr>
          <w:b/>
          <w:bCs/>
          <w:color w:val="1B5E7D"/>
          <w:sz w:val="26"/>
          <w:szCs w:val="26"/>
        </w:rPr>
        <w:t>Responsibilities</w:t>
      </w:r>
    </w:p>
    <w:p w14:paraId="267FBDBD" w14:textId="77777777" w:rsidR="00E370B1" w:rsidRDefault="00000000">
      <w:pPr>
        <w:spacing w:after="150"/>
        <w:jc w:val="both"/>
      </w:pPr>
      <w:r>
        <w:t>Directors ensure adequate resources for water safety equipment, training, and supervision. Site supervisors implement water safety controls, conduct equipment checks, and ensure personnel compliance with this policy. All workers must wear prescribed PPE, remain vigilant for water hazards, participate in water safety training, and report any concerns about water-related risks immediately.</w:t>
      </w:r>
    </w:p>
    <w:p w14:paraId="0D9ECE9C" w14:textId="77777777" w:rsidR="00E370B1" w:rsidRDefault="00000000">
      <w:pPr>
        <w:spacing w:before="300" w:after="150"/>
      </w:pPr>
      <w:r>
        <w:rPr>
          <w:b/>
          <w:bCs/>
          <w:color w:val="1B5E7D"/>
          <w:sz w:val="26"/>
          <w:szCs w:val="26"/>
        </w:rPr>
        <w:t>Review</w:t>
      </w:r>
    </w:p>
    <w:p w14:paraId="2068ED12" w14:textId="77777777" w:rsidR="00E370B1" w:rsidRDefault="00000000">
      <w:pPr>
        <w:spacing w:after="150"/>
        <w:jc w:val="both"/>
      </w:pPr>
      <w:r>
        <w:t>This policy will be reviewed annually by the Directors to ensure it remains effective and continues to protect our workforce from water-related hazards.</w:t>
      </w:r>
    </w:p>
    <w:p w14:paraId="745BA06E" w14:textId="77777777" w:rsidR="00E370B1" w:rsidRDefault="00000000">
      <w:pPr>
        <w:spacing w:before="400"/>
      </w:pPr>
      <w:r>
        <w:rPr>
          <w:b/>
          <w:bCs/>
        </w:rPr>
        <w:t>Signed:</w:t>
      </w:r>
    </w:p>
    <w:p w14:paraId="7A269471" w14:textId="77777777" w:rsidR="00E370B1" w:rsidRDefault="00000000">
      <w:pPr>
        <w:spacing w:before="200" w:after="50"/>
      </w:pPr>
      <w:r>
        <w:rPr>
          <w:b/>
          <w:bCs/>
        </w:rPr>
        <w:t>Aaron Mason</w:t>
      </w:r>
    </w:p>
    <w:p w14:paraId="3519B640" w14:textId="77777777" w:rsidR="00E370B1" w:rsidRDefault="00000000">
      <w:pPr>
        <w:spacing w:after="150"/>
        <w:jc w:val="both"/>
      </w:pPr>
      <w:r>
        <w:t>Director</w:t>
      </w:r>
    </w:p>
    <w:p w14:paraId="36719130" w14:textId="77777777" w:rsidR="00E370B1" w:rsidRDefault="00000000">
      <w:pPr>
        <w:spacing w:after="150"/>
        <w:jc w:val="both"/>
      </w:pPr>
      <w:r>
        <w:t>A M Water Services Ltd</w:t>
      </w:r>
    </w:p>
    <w:p w14:paraId="7E7CC4B9" w14:textId="46A76AAF" w:rsidR="00E370B1" w:rsidRDefault="00000000" w:rsidP="00717B1A">
      <w:pPr>
        <w:spacing w:after="150"/>
        <w:jc w:val="both"/>
      </w:pPr>
      <w:r>
        <w:t>1st July 2025</w:t>
      </w:r>
    </w:p>
    <w:sectPr w:rsidR="00E370B1">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D9DB3" w14:textId="77777777" w:rsidR="008D76A4" w:rsidRDefault="008D76A4" w:rsidP="00717B1A">
      <w:r>
        <w:separator/>
      </w:r>
    </w:p>
  </w:endnote>
  <w:endnote w:type="continuationSeparator" w:id="0">
    <w:p w14:paraId="5058C6C4" w14:textId="77777777" w:rsidR="008D76A4" w:rsidRDefault="008D76A4" w:rsidP="00717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9EC4A" w14:textId="77777777" w:rsidR="00D92413" w:rsidRDefault="00D924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4" w:name="_Hlk219904223" w:displacedByCustomXml="next"/>
  <w:bookmarkStart w:id="85" w:name="OLE_LINK118" w:displacedByCustomXml="next"/>
  <w:bookmarkStart w:id="86" w:name="OLE_LINK117" w:displacedByCustomXml="next"/>
  <w:bookmarkStart w:id="87" w:name="_Hlk219904196" w:displacedByCustomXml="next"/>
  <w:bookmarkStart w:id="88" w:name="OLE_LINK114" w:displacedByCustomXml="next"/>
  <w:bookmarkStart w:id="89" w:name="OLE_LINK113" w:displacedByCustomXml="next"/>
  <w:bookmarkStart w:id="90" w:name="_Hlk219904168" w:displacedByCustomXml="next"/>
  <w:bookmarkStart w:id="91" w:name="OLE_LINK110" w:displacedByCustomXml="next"/>
  <w:bookmarkStart w:id="92" w:name="OLE_LINK109" w:displacedByCustomXml="next"/>
  <w:bookmarkStart w:id="93" w:name="_Hlk219904143" w:displacedByCustomXml="next"/>
  <w:bookmarkStart w:id="94" w:name="OLE_LINK106" w:displacedByCustomXml="next"/>
  <w:bookmarkStart w:id="95" w:name="OLE_LINK105" w:displacedByCustomXml="next"/>
  <w:bookmarkStart w:id="96" w:name="_Hlk219904099" w:displacedByCustomXml="next"/>
  <w:bookmarkStart w:id="97" w:name="OLE_LINK102" w:displacedByCustomXml="next"/>
  <w:bookmarkStart w:id="98" w:name="OLE_LINK101" w:displacedByCustomXml="next"/>
  <w:bookmarkStart w:id="99" w:name="_Hlk219904068" w:displacedByCustomXml="next"/>
  <w:bookmarkStart w:id="100" w:name="OLE_LINK98" w:displacedByCustomXml="next"/>
  <w:bookmarkStart w:id="101" w:name="OLE_LINK97" w:displacedByCustomXml="next"/>
  <w:bookmarkStart w:id="102" w:name="_Hlk219904038" w:displacedByCustomXml="next"/>
  <w:bookmarkStart w:id="103" w:name="OLE_LINK94" w:displacedByCustomXml="next"/>
  <w:bookmarkStart w:id="104" w:name="OLE_LINK93" w:displacedByCustomXml="next"/>
  <w:bookmarkStart w:id="105" w:name="_Hlk219903908" w:displacedByCustomXml="next"/>
  <w:bookmarkStart w:id="106" w:name="OLE_LINK90" w:displacedByCustomXml="next"/>
  <w:bookmarkStart w:id="107" w:name="OLE_LINK89" w:displacedByCustomXml="next"/>
  <w:bookmarkStart w:id="108" w:name="_Hlk219903859" w:displacedByCustomXml="next"/>
  <w:bookmarkStart w:id="109" w:name="OLE_LINK86" w:displacedByCustomXml="next"/>
  <w:bookmarkStart w:id="110" w:name="OLE_LINK85" w:displacedByCustomXml="next"/>
  <w:bookmarkStart w:id="111" w:name="_Hlk219903795" w:displacedByCustomXml="next"/>
  <w:bookmarkStart w:id="112" w:name="OLE_LINK82" w:displacedByCustomXml="next"/>
  <w:bookmarkStart w:id="113" w:name="OLE_LINK81" w:displacedByCustomXml="next"/>
  <w:bookmarkStart w:id="114" w:name="_Hlk219903728" w:displacedByCustomXml="next"/>
  <w:bookmarkStart w:id="115" w:name="OLE_LINK78" w:displacedByCustomXml="next"/>
  <w:bookmarkStart w:id="116" w:name="OLE_LINK77" w:displacedByCustomXml="next"/>
  <w:bookmarkStart w:id="117" w:name="_Hlk219903685" w:displacedByCustomXml="next"/>
  <w:bookmarkStart w:id="118" w:name="OLE_LINK74" w:displacedByCustomXml="next"/>
  <w:bookmarkStart w:id="119" w:name="OLE_LINK73" w:displacedByCustomXml="next"/>
  <w:bookmarkStart w:id="120" w:name="_Hlk219903643" w:displacedByCustomXml="next"/>
  <w:bookmarkStart w:id="121" w:name="OLE_LINK70" w:displacedByCustomXml="next"/>
  <w:bookmarkStart w:id="122" w:name="OLE_LINK69" w:displacedByCustomXml="next"/>
  <w:bookmarkStart w:id="123" w:name="_Hlk219903600" w:displacedByCustomXml="next"/>
  <w:bookmarkStart w:id="124" w:name="OLE_LINK66" w:displacedByCustomXml="next"/>
  <w:bookmarkStart w:id="125" w:name="OLE_LINK65" w:displacedByCustomXml="next"/>
  <w:bookmarkStart w:id="126" w:name="_Hlk219903549" w:displacedByCustomXml="next"/>
  <w:bookmarkStart w:id="127" w:name="OLE_LINK62" w:displacedByCustomXml="next"/>
  <w:bookmarkStart w:id="128" w:name="OLE_LINK61" w:displacedByCustomXml="next"/>
  <w:bookmarkStart w:id="129" w:name="_Hlk219903515" w:displacedByCustomXml="next"/>
  <w:bookmarkStart w:id="130" w:name="OLE_LINK58" w:displacedByCustomXml="next"/>
  <w:bookmarkStart w:id="131" w:name="OLE_LINK57" w:displacedByCustomXml="next"/>
  <w:bookmarkStart w:id="132" w:name="_Hlk219903482" w:displacedByCustomXml="next"/>
  <w:bookmarkStart w:id="133" w:name="OLE_LINK54" w:displacedByCustomXml="next"/>
  <w:bookmarkStart w:id="134" w:name="OLE_LINK53" w:displacedByCustomXml="next"/>
  <w:bookmarkStart w:id="135" w:name="_Hlk219903432" w:displacedByCustomXml="next"/>
  <w:bookmarkStart w:id="136" w:name="OLE_LINK50" w:displacedByCustomXml="next"/>
  <w:bookmarkStart w:id="137" w:name="OLE_LINK49" w:displacedByCustomXml="next"/>
  <w:bookmarkStart w:id="138" w:name="_Hlk219903347" w:displacedByCustomXml="next"/>
  <w:bookmarkStart w:id="139" w:name="OLE_LINK44" w:displacedByCustomXml="next"/>
  <w:bookmarkStart w:id="140" w:name="OLE_LINK43" w:displacedByCustomXml="next"/>
  <w:bookmarkStart w:id="141" w:name="_Hlk219903319" w:displacedByCustomXml="next"/>
  <w:bookmarkStart w:id="142" w:name="OLE_LINK40" w:displacedByCustomXml="next"/>
  <w:bookmarkStart w:id="143" w:name="OLE_LINK39" w:displacedByCustomXml="next"/>
  <w:bookmarkStart w:id="144" w:name="_Hlk219903285" w:displacedByCustomXml="next"/>
  <w:bookmarkStart w:id="145" w:name="OLE_LINK36" w:displacedByCustomXml="next"/>
  <w:bookmarkStart w:id="146" w:name="OLE_LINK35" w:displacedByCustomXml="next"/>
  <w:bookmarkStart w:id="147" w:name="_Hlk219903237" w:displacedByCustomXml="next"/>
  <w:bookmarkStart w:id="148" w:name="OLE_LINK32" w:displacedByCustomXml="next"/>
  <w:bookmarkStart w:id="149" w:name="OLE_LINK31" w:displacedByCustomXml="next"/>
  <w:bookmarkStart w:id="150" w:name="_Hlk219903185" w:displacedByCustomXml="next"/>
  <w:bookmarkStart w:id="151" w:name="OLE_LINK28" w:displacedByCustomXml="next"/>
  <w:bookmarkStart w:id="152" w:name="OLE_LINK27" w:displacedByCustomXml="next"/>
  <w:bookmarkStart w:id="153" w:name="_Hlk219903139" w:displacedByCustomXml="next"/>
  <w:bookmarkStart w:id="154" w:name="OLE_LINK24" w:displacedByCustomXml="next"/>
  <w:bookmarkStart w:id="155" w:name="OLE_LINK23" w:displacedByCustomXml="next"/>
  <w:bookmarkStart w:id="156" w:name="_Hlk219903062" w:displacedByCustomXml="next"/>
  <w:bookmarkStart w:id="157" w:name="OLE_LINK20" w:displacedByCustomXml="next"/>
  <w:bookmarkStart w:id="158" w:name="OLE_LINK19" w:displacedByCustomXml="next"/>
  <w:bookmarkStart w:id="159" w:name="_Hlk219903009" w:displacedByCustomXml="next"/>
  <w:bookmarkStart w:id="160" w:name="OLE_LINK16" w:displacedByCustomXml="next"/>
  <w:bookmarkStart w:id="161" w:name="OLE_LINK15" w:displacedByCustomXml="next"/>
  <w:bookmarkStart w:id="162" w:name="_Hlk219902920" w:displacedByCustomXml="next"/>
  <w:bookmarkStart w:id="163" w:name="OLE_LINK12" w:displacedByCustomXml="next"/>
  <w:bookmarkStart w:id="164" w:name="OLE_LINK11" w:displacedByCustomXml="next"/>
  <w:sdt>
    <w:sdtPr>
      <w:rPr>
        <w:rStyle w:val="PageNumber"/>
      </w:rPr>
      <w:id w:val="-157921668"/>
      <w:docPartObj>
        <w:docPartGallery w:val="Page Numbers (Bottom of Page)"/>
        <w:docPartUnique/>
      </w:docPartObj>
    </w:sdtPr>
    <w:sdtContent>
      <w:p w14:paraId="276E75FB" w14:textId="77777777" w:rsidR="00717B1A" w:rsidRDefault="00717B1A" w:rsidP="00717B1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sdtContent>
  </w:sdt>
  <w:p w14:paraId="7D9AA682" w14:textId="55738D77" w:rsidR="00717B1A" w:rsidRDefault="00717B1A" w:rsidP="00717B1A">
    <w:pPr>
      <w:pStyle w:val="FirstParagraph"/>
      <w:ind w:right="360"/>
    </w:pPr>
    <w:r>
      <w:t>Document Reference: POL_HSQE_</w:t>
    </w:r>
    <w:r>
      <w:t>28</w:t>
    </w:r>
    <w:r>
      <w:t xml:space="preserve"> | Revision: 3 | Date: 1st July 2025</w:t>
    </w:r>
    <w:r>
      <w:br/>
      <w:t>Next Review: 1st July 2026 | Uncontrolled when printed</w:t>
    </w:r>
    <w:bookmarkEnd w:id="164"/>
    <w:bookmarkEnd w:id="163"/>
    <w:bookmarkEnd w:id="162"/>
    <w:bookmarkEnd w:id="161"/>
    <w:bookmarkEnd w:id="160"/>
    <w:bookmarkEnd w:id="159"/>
    <w:bookmarkEnd w:id="158"/>
    <w:bookmarkEnd w:id="157"/>
    <w:bookmarkEnd w:id="156"/>
    <w:bookmarkEnd w:id="155"/>
    <w:bookmarkEnd w:id="154"/>
    <w:bookmarkEnd w:id="153"/>
    <w:bookmarkEnd w:id="152"/>
    <w:bookmarkEnd w:id="151"/>
    <w:bookmarkEnd w:id="150"/>
    <w:bookmarkEnd w:id="149"/>
    <w:bookmarkEnd w:id="148"/>
    <w:bookmarkEnd w:id="147"/>
    <w:bookmarkEnd w:id="146"/>
    <w:bookmarkEnd w:id="145"/>
    <w:bookmarkEnd w:id="144"/>
    <w:bookmarkEnd w:id="143"/>
    <w:bookmarkEnd w:id="142"/>
    <w:bookmarkEnd w:id="141"/>
    <w:bookmarkEnd w:id="140"/>
    <w:bookmarkEnd w:id="139"/>
    <w:bookmarkEnd w:id="138"/>
    <w:bookmarkEnd w:id="137"/>
    <w:bookmarkEnd w:id="136"/>
    <w:bookmarkEnd w:id="135"/>
    <w:bookmarkEnd w:id="134"/>
    <w:bookmarkEnd w:id="133"/>
    <w:bookmarkEnd w:id="132"/>
    <w:bookmarkEnd w:id="131"/>
    <w:bookmarkEnd w:id="130"/>
    <w:bookmarkEnd w:id="129"/>
    <w:bookmarkEnd w:id="128"/>
    <w:bookmarkEnd w:id="127"/>
    <w:bookmarkEnd w:id="126"/>
    <w:bookmarkEnd w:id="125"/>
    <w:bookmarkEnd w:id="124"/>
    <w:bookmarkEnd w:id="123"/>
    <w:bookmarkEnd w:id="122"/>
    <w:bookmarkEnd w:id="121"/>
    <w:bookmarkEnd w:id="120"/>
    <w:bookmarkEnd w:id="119"/>
    <w:bookmarkEnd w:id="118"/>
    <w:bookmarkEnd w:id="117"/>
    <w:bookmarkEnd w:id="116"/>
    <w:bookmarkEnd w:id="115"/>
    <w:bookmarkEnd w:id="114"/>
    <w:bookmarkEnd w:id="113"/>
    <w:bookmarkEnd w:id="112"/>
    <w:bookmarkEnd w:id="111"/>
    <w:bookmarkEnd w:id="110"/>
    <w:bookmarkEnd w:id="109"/>
    <w:bookmarkEnd w:id="108"/>
    <w:bookmarkEnd w:id="107"/>
    <w:bookmarkEnd w:id="106"/>
    <w:bookmarkEnd w:id="105"/>
    <w:bookmarkEnd w:id="104"/>
    <w:bookmarkEnd w:id="103"/>
    <w:bookmarkEnd w:id="102"/>
    <w:bookmarkEnd w:id="101"/>
    <w:bookmarkEnd w:id="100"/>
    <w:bookmarkEnd w:id="99"/>
    <w:bookmarkEnd w:id="98"/>
    <w:bookmarkEnd w:id="97"/>
    <w:bookmarkEnd w:id="96"/>
    <w:bookmarkEnd w:id="95"/>
    <w:bookmarkEnd w:id="94"/>
    <w:bookmarkEnd w:id="93"/>
    <w:bookmarkEnd w:id="92"/>
    <w:bookmarkEnd w:id="91"/>
    <w:bookmarkEnd w:id="90"/>
    <w:bookmarkEnd w:id="89"/>
    <w:bookmarkEnd w:id="88"/>
    <w:bookmarkEnd w:id="87"/>
    <w:bookmarkEnd w:id="86"/>
    <w:bookmarkEnd w:id="85"/>
    <w:bookmarkEnd w:id="8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289F0" w14:textId="77777777" w:rsidR="00D92413" w:rsidRDefault="00D92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5A622" w14:textId="77777777" w:rsidR="008D76A4" w:rsidRDefault="008D76A4" w:rsidP="00717B1A">
      <w:r>
        <w:separator/>
      </w:r>
    </w:p>
  </w:footnote>
  <w:footnote w:type="continuationSeparator" w:id="0">
    <w:p w14:paraId="3226D970" w14:textId="77777777" w:rsidR="008D76A4" w:rsidRDefault="008D76A4" w:rsidP="00717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F45C8" w14:textId="77777777" w:rsidR="00D92413" w:rsidRDefault="00D924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F7B92" w14:textId="6FC6FF96" w:rsidR="00717B1A" w:rsidRPr="001A76A4" w:rsidRDefault="00717B1A" w:rsidP="00717B1A">
    <w:pPr>
      <w:pStyle w:val="Header"/>
    </w:pPr>
    <w:bookmarkStart w:id="0" w:name="OLE_LINK9"/>
    <w:bookmarkStart w:id="1" w:name="OLE_LINK10"/>
    <w:bookmarkStart w:id="2" w:name="_Hlk219902909"/>
    <w:bookmarkStart w:id="3" w:name="OLE_LINK13"/>
    <w:bookmarkStart w:id="4" w:name="OLE_LINK14"/>
    <w:bookmarkStart w:id="5" w:name="_Hlk219902997"/>
    <w:bookmarkStart w:id="6" w:name="OLE_LINK17"/>
    <w:bookmarkStart w:id="7" w:name="OLE_LINK18"/>
    <w:bookmarkStart w:id="8" w:name="_Hlk219903051"/>
    <w:bookmarkStart w:id="9" w:name="OLE_LINK21"/>
    <w:bookmarkStart w:id="10" w:name="OLE_LINK22"/>
    <w:bookmarkStart w:id="11" w:name="_Hlk219903115"/>
    <w:bookmarkStart w:id="12" w:name="OLE_LINK25"/>
    <w:bookmarkStart w:id="13" w:name="OLE_LINK26"/>
    <w:bookmarkStart w:id="14" w:name="_Hlk219903178"/>
    <w:bookmarkStart w:id="15" w:name="OLE_LINK29"/>
    <w:bookmarkStart w:id="16" w:name="OLE_LINK30"/>
    <w:bookmarkStart w:id="17" w:name="_Hlk219903232"/>
    <w:bookmarkStart w:id="18" w:name="OLE_LINK33"/>
    <w:bookmarkStart w:id="19" w:name="OLE_LINK34"/>
    <w:bookmarkStart w:id="20" w:name="_Hlk219903271"/>
    <w:bookmarkStart w:id="21" w:name="OLE_LINK37"/>
    <w:bookmarkStart w:id="22" w:name="OLE_LINK38"/>
    <w:bookmarkStart w:id="23" w:name="_Hlk219903306"/>
    <w:bookmarkStart w:id="24" w:name="OLE_LINK41"/>
    <w:bookmarkStart w:id="25" w:name="OLE_LINK42"/>
    <w:bookmarkStart w:id="26" w:name="_Hlk219903338"/>
    <w:bookmarkStart w:id="27" w:name="OLE_LINK45"/>
    <w:bookmarkStart w:id="28" w:name="OLE_LINK46"/>
    <w:bookmarkStart w:id="29" w:name="_Hlk219903378"/>
    <w:bookmarkStart w:id="30" w:name="OLE_LINK47"/>
    <w:bookmarkStart w:id="31" w:name="OLE_LINK48"/>
    <w:bookmarkStart w:id="32" w:name="_Hlk219903426"/>
    <w:bookmarkStart w:id="33" w:name="OLE_LINK51"/>
    <w:bookmarkStart w:id="34" w:name="OLE_LINK52"/>
    <w:bookmarkStart w:id="35" w:name="_Hlk219903467"/>
    <w:bookmarkStart w:id="36" w:name="OLE_LINK55"/>
    <w:bookmarkStart w:id="37" w:name="OLE_LINK56"/>
    <w:bookmarkStart w:id="38" w:name="_Hlk219903506"/>
    <w:bookmarkStart w:id="39" w:name="OLE_LINK59"/>
    <w:bookmarkStart w:id="40" w:name="OLE_LINK60"/>
    <w:bookmarkStart w:id="41" w:name="_Hlk219903541"/>
    <w:bookmarkStart w:id="42" w:name="OLE_LINK63"/>
    <w:bookmarkStart w:id="43" w:name="OLE_LINK64"/>
    <w:bookmarkStart w:id="44" w:name="_Hlk219903590"/>
    <w:bookmarkStart w:id="45" w:name="OLE_LINK67"/>
    <w:bookmarkStart w:id="46" w:name="OLE_LINK68"/>
    <w:bookmarkStart w:id="47" w:name="_Hlk219903629"/>
    <w:bookmarkStart w:id="48" w:name="OLE_LINK71"/>
    <w:bookmarkStart w:id="49" w:name="OLE_LINK72"/>
    <w:bookmarkStart w:id="50" w:name="_Hlk219903678"/>
    <w:bookmarkStart w:id="51" w:name="OLE_LINK75"/>
    <w:bookmarkStart w:id="52" w:name="OLE_LINK76"/>
    <w:bookmarkStart w:id="53" w:name="_Hlk219903720"/>
    <w:bookmarkStart w:id="54" w:name="OLE_LINK79"/>
    <w:bookmarkStart w:id="55" w:name="OLE_LINK80"/>
    <w:bookmarkStart w:id="56" w:name="_Hlk219903785"/>
    <w:bookmarkStart w:id="57" w:name="OLE_LINK83"/>
    <w:bookmarkStart w:id="58" w:name="OLE_LINK84"/>
    <w:bookmarkStart w:id="59" w:name="_Hlk219903832"/>
    <w:bookmarkStart w:id="60" w:name="OLE_LINK87"/>
    <w:bookmarkStart w:id="61" w:name="OLE_LINK88"/>
    <w:bookmarkStart w:id="62" w:name="_Hlk219903896"/>
    <w:bookmarkStart w:id="63" w:name="OLE_LINK91"/>
    <w:bookmarkStart w:id="64" w:name="OLE_LINK92"/>
    <w:bookmarkStart w:id="65" w:name="_Hlk219904031"/>
    <w:bookmarkStart w:id="66" w:name="OLE_LINK95"/>
    <w:bookmarkStart w:id="67" w:name="OLE_LINK96"/>
    <w:bookmarkStart w:id="68" w:name="_Hlk219904061"/>
    <w:bookmarkStart w:id="69" w:name="OLE_LINK99"/>
    <w:bookmarkStart w:id="70" w:name="OLE_LINK100"/>
    <w:bookmarkStart w:id="71" w:name="_Hlk219904093"/>
    <w:bookmarkStart w:id="72" w:name="OLE_LINK103"/>
    <w:bookmarkStart w:id="73" w:name="OLE_LINK104"/>
    <w:bookmarkStart w:id="74" w:name="_Hlk219904127"/>
    <w:bookmarkStart w:id="75" w:name="OLE_LINK107"/>
    <w:bookmarkStart w:id="76" w:name="OLE_LINK108"/>
    <w:bookmarkStart w:id="77" w:name="_Hlk219904159"/>
    <w:bookmarkStart w:id="78" w:name="OLE_LINK111"/>
    <w:bookmarkStart w:id="79" w:name="OLE_LINK112"/>
    <w:bookmarkStart w:id="80" w:name="_Hlk219904191"/>
    <w:bookmarkStart w:id="81" w:name="OLE_LINK115"/>
    <w:bookmarkStart w:id="82" w:name="OLE_LINK116"/>
    <w:bookmarkStart w:id="83" w:name="_Hlk219904217"/>
    <w:r>
      <w:tab/>
    </w:r>
    <w:r>
      <w:rPr>
        <w:noProof/>
      </w:rPr>
      <w:drawing>
        <wp:inline distT="0" distB="0" distL="0" distR="0" wp14:anchorId="49A4721F" wp14:editId="44BAE02F">
          <wp:extent cx="1437740" cy="547200"/>
          <wp:effectExtent l="0" t="0" r="0" b="0"/>
          <wp:docPr id="1033883017" name="Picture 1" descr="A blue lette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83017" name="Picture 1" descr="A blue letter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7740" cy="547200"/>
                  </a:xfrm>
                  <a:prstGeom prst="rect">
                    <a:avLst/>
                  </a:prstGeom>
                </pic:spPr>
              </pic:pic>
            </a:graphicData>
          </a:graphic>
        </wp:inline>
      </w:drawing>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14:paraId="3CCA267D" w14:textId="77777777" w:rsidR="00717B1A" w:rsidRDefault="00717B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F6028" w14:textId="77777777" w:rsidR="00D92413" w:rsidRDefault="00D924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135418"/>
    <w:multiLevelType w:val="hybridMultilevel"/>
    <w:tmpl w:val="AEB0213C"/>
    <w:lvl w:ilvl="0" w:tplc="7BC8302E">
      <w:start w:val="1"/>
      <w:numFmt w:val="decimal"/>
      <w:lvlText w:val="%1."/>
      <w:lvlJc w:val="left"/>
      <w:pPr>
        <w:ind w:left="720" w:hanging="360"/>
      </w:pPr>
    </w:lvl>
    <w:lvl w:ilvl="1" w:tplc="A52AF082">
      <w:numFmt w:val="decimal"/>
      <w:lvlText w:val=""/>
      <w:lvlJc w:val="left"/>
    </w:lvl>
    <w:lvl w:ilvl="2" w:tplc="2D7EB43C">
      <w:numFmt w:val="decimal"/>
      <w:lvlText w:val=""/>
      <w:lvlJc w:val="left"/>
    </w:lvl>
    <w:lvl w:ilvl="3" w:tplc="EDC66662">
      <w:numFmt w:val="decimal"/>
      <w:lvlText w:val=""/>
      <w:lvlJc w:val="left"/>
    </w:lvl>
    <w:lvl w:ilvl="4" w:tplc="3B3AAAC0">
      <w:numFmt w:val="decimal"/>
      <w:lvlText w:val=""/>
      <w:lvlJc w:val="left"/>
    </w:lvl>
    <w:lvl w:ilvl="5" w:tplc="F550C33A">
      <w:numFmt w:val="decimal"/>
      <w:lvlText w:val=""/>
      <w:lvlJc w:val="left"/>
    </w:lvl>
    <w:lvl w:ilvl="6" w:tplc="FBD4AA94">
      <w:numFmt w:val="decimal"/>
      <w:lvlText w:val=""/>
      <w:lvlJc w:val="left"/>
    </w:lvl>
    <w:lvl w:ilvl="7" w:tplc="7F7888F4">
      <w:numFmt w:val="decimal"/>
      <w:lvlText w:val=""/>
      <w:lvlJc w:val="left"/>
    </w:lvl>
    <w:lvl w:ilvl="8" w:tplc="680CF20C">
      <w:numFmt w:val="decimal"/>
      <w:lvlText w:val=""/>
      <w:lvlJc w:val="left"/>
    </w:lvl>
  </w:abstractNum>
  <w:abstractNum w:abstractNumId="1" w15:restartNumberingAfterBreak="0">
    <w:nsid w:val="6C292027"/>
    <w:multiLevelType w:val="hybridMultilevel"/>
    <w:tmpl w:val="3FE6CD3C"/>
    <w:lvl w:ilvl="0" w:tplc="31B8B344">
      <w:start w:val="1"/>
      <w:numFmt w:val="bullet"/>
      <w:lvlText w:val="•"/>
      <w:lvlJc w:val="left"/>
      <w:pPr>
        <w:ind w:left="720" w:hanging="360"/>
      </w:pPr>
    </w:lvl>
    <w:lvl w:ilvl="1" w:tplc="E53CBC68">
      <w:numFmt w:val="decimal"/>
      <w:lvlText w:val=""/>
      <w:lvlJc w:val="left"/>
    </w:lvl>
    <w:lvl w:ilvl="2" w:tplc="7FBE20FC">
      <w:numFmt w:val="decimal"/>
      <w:lvlText w:val=""/>
      <w:lvlJc w:val="left"/>
    </w:lvl>
    <w:lvl w:ilvl="3" w:tplc="A9886A80">
      <w:numFmt w:val="decimal"/>
      <w:lvlText w:val=""/>
      <w:lvlJc w:val="left"/>
    </w:lvl>
    <w:lvl w:ilvl="4" w:tplc="1B8AC718">
      <w:numFmt w:val="decimal"/>
      <w:lvlText w:val=""/>
      <w:lvlJc w:val="left"/>
    </w:lvl>
    <w:lvl w:ilvl="5" w:tplc="6C0A4A94">
      <w:numFmt w:val="decimal"/>
      <w:lvlText w:val=""/>
      <w:lvlJc w:val="left"/>
    </w:lvl>
    <w:lvl w:ilvl="6" w:tplc="A4F4AD98">
      <w:numFmt w:val="decimal"/>
      <w:lvlText w:val=""/>
      <w:lvlJc w:val="left"/>
    </w:lvl>
    <w:lvl w:ilvl="7" w:tplc="427E2E94">
      <w:numFmt w:val="decimal"/>
      <w:lvlText w:val=""/>
      <w:lvlJc w:val="left"/>
    </w:lvl>
    <w:lvl w:ilvl="8" w:tplc="33A491FA">
      <w:numFmt w:val="decimal"/>
      <w:lvlText w:val=""/>
      <w:lvlJc w:val="left"/>
    </w:lvl>
  </w:abstractNum>
  <w:abstractNum w:abstractNumId="2" w15:restartNumberingAfterBreak="0">
    <w:nsid w:val="7A846527"/>
    <w:multiLevelType w:val="hybridMultilevel"/>
    <w:tmpl w:val="BB287CF0"/>
    <w:lvl w:ilvl="0" w:tplc="9FFAD598">
      <w:start w:val="1"/>
      <w:numFmt w:val="bullet"/>
      <w:lvlText w:val="●"/>
      <w:lvlJc w:val="left"/>
      <w:pPr>
        <w:ind w:left="720" w:hanging="360"/>
      </w:pPr>
    </w:lvl>
    <w:lvl w:ilvl="1" w:tplc="9F0279F6">
      <w:start w:val="1"/>
      <w:numFmt w:val="bullet"/>
      <w:lvlText w:val="○"/>
      <w:lvlJc w:val="left"/>
      <w:pPr>
        <w:ind w:left="1440" w:hanging="360"/>
      </w:pPr>
    </w:lvl>
    <w:lvl w:ilvl="2" w:tplc="51489FBE">
      <w:start w:val="1"/>
      <w:numFmt w:val="bullet"/>
      <w:lvlText w:val="■"/>
      <w:lvlJc w:val="left"/>
      <w:pPr>
        <w:ind w:left="2160" w:hanging="360"/>
      </w:pPr>
    </w:lvl>
    <w:lvl w:ilvl="3" w:tplc="C4A6B3DC">
      <w:start w:val="1"/>
      <w:numFmt w:val="bullet"/>
      <w:lvlText w:val="●"/>
      <w:lvlJc w:val="left"/>
      <w:pPr>
        <w:ind w:left="2880" w:hanging="360"/>
      </w:pPr>
    </w:lvl>
    <w:lvl w:ilvl="4" w:tplc="8F52B3D8">
      <w:start w:val="1"/>
      <w:numFmt w:val="bullet"/>
      <w:lvlText w:val="○"/>
      <w:lvlJc w:val="left"/>
      <w:pPr>
        <w:ind w:left="3600" w:hanging="360"/>
      </w:pPr>
    </w:lvl>
    <w:lvl w:ilvl="5" w:tplc="0C8E0B42">
      <w:start w:val="1"/>
      <w:numFmt w:val="bullet"/>
      <w:lvlText w:val="■"/>
      <w:lvlJc w:val="left"/>
      <w:pPr>
        <w:ind w:left="4320" w:hanging="360"/>
      </w:pPr>
    </w:lvl>
    <w:lvl w:ilvl="6" w:tplc="2E70FD0E">
      <w:start w:val="1"/>
      <w:numFmt w:val="bullet"/>
      <w:lvlText w:val="●"/>
      <w:lvlJc w:val="left"/>
      <w:pPr>
        <w:ind w:left="5040" w:hanging="360"/>
      </w:pPr>
    </w:lvl>
    <w:lvl w:ilvl="7" w:tplc="843463EE">
      <w:start w:val="1"/>
      <w:numFmt w:val="bullet"/>
      <w:lvlText w:val="●"/>
      <w:lvlJc w:val="left"/>
      <w:pPr>
        <w:ind w:left="5760" w:hanging="360"/>
      </w:pPr>
    </w:lvl>
    <w:lvl w:ilvl="8" w:tplc="15887896">
      <w:start w:val="1"/>
      <w:numFmt w:val="bullet"/>
      <w:lvlText w:val="●"/>
      <w:lvlJc w:val="left"/>
      <w:pPr>
        <w:ind w:left="6480" w:hanging="360"/>
      </w:pPr>
    </w:lvl>
  </w:abstractNum>
  <w:num w:numId="1" w16cid:durableId="158040629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0B1"/>
    <w:rsid w:val="00717B1A"/>
    <w:rsid w:val="008D76A4"/>
    <w:rsid w:val="00D92413"/>
    <w:rsid w:val="00E370B1"/>
    <w:rsid w:val="00E52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AE65708"/>
  <w15:docId w15:val="{CB497C12-4209-3745-94D1-BCC4C0FB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nhideWhenUsed/>
    <w:rsid w:val="00717B1A"/>
    <w:pPr>
      <w:tabs>
        <w:tab w:val="center" w:pos="4513"/>
        <w:tab w:val="right" w:pos="9026"/>
      </w:tabs>
    </w:pPr>
  </w:style>
  <w:style w:type="character" w:customStyle="1" w:styleId="HeaderChar">
    <w:name w:val="Header Char"/>
    <w:basedOn w:val="DefaultParagraphFont"/>
    <w:link w:val="Header"/>
    <w:rsid w:val="00717B1A"/>
  </w:style>
  <w:style w:type="paragraph" w:styleId="Footer">
    <w:name w:val="footer"/>
    <w:basedOn w:val="Normal"/>
    <w:link w:val="FooterChar"/>
    <w:unhideWhenUsed/>
    <w:rsid w:val="00717B1A"/>
    <w:pPr>
      <w:tabs>
        <w:tab w:val="center" w:pos="4513"/>
        <w:tab w:val="right" w:pos="9026"/>
      </w:tabs>
    </w:pPr>
  </w:style>
  <w:style w:type="character" w:customStyle="1" w:styleId="FooterChar">
    <w:name w:val="Footer Char"/>
    <w:basedOn w:val="DefaultParagraphFont"/>
    <w:link w:val="Footer"/>
    <w:rsid w:val="00717B1A"/>
  </w:style>
  <w:style w:type="paragraph" w:customStyle="1" w:styleId="FirstParagraph">
    <w:name w:val="First Paragraph"/>
    <w:basedOn w:val="BodyText"/>
    <w:next w:val="BodyText"/>
    <w:qFormat/>
    <w:rsid w:val="00717B1A"/>
    <w:pPr>
      <w:spacing w:before="180" w:after="180"/>
    </w:pPr>
    <w:rPr>
      <w:rFonts w:asciiTheme="minorHAnsi" w:eastAsiaTheme="minorHAnsi" w:hAnsiTheme="minorHAnsi" w:cstheme="minorBidi"/>
      <w:sz w:val="24"/>
      <w:szCs w:val="24"/>
      <w:lang w:val="en-US" w:eastAsia="en-US"/>
    </w:rPr>
  </w:style>
  <w:style w:type="character" w:styleId="PageNumber">
    <w:name w:val="page number"/>
    <w:basedOn w:val="DefaultParagraphFont"/>
    <w:rsid w:val="00717B1A"/>
  </w:style>
  <w:style w:type="paragraph" w:styleId="BodyText">
    <w:name w:val="Body Text"/>
    <w:basedOn w:val="Normal"/>
    <w:link w:val="BodyTextChar"/>
    <w:uiPriority w:val="99"/>
    <w:semiHidden/>
    <w:unhideWhenUsed/>
    <w:rsid w:val="00717B1A"/>
    <w:pPr>
      <w:spacing w:after="120"/>
    </w:pPr>
  </w:style>
  <w:style w:type="character" w:customStyle="1" w:styleId="BodyTextChar">
    <w:name w:val="Body Text Char"/>
    <w:basedOn w:val="DefaultParagraphFont"/>
    <w:link w:val="BodyText"/>
    <w:uiPriority w:val="99"/>
    <w:semiHidden/>
    <w:rsid w:val="00717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05488F2C8294E8B9DB7FC1556790D" ma:contentTypeVersion="18" ma:contentTypeDescription="Create a new document." ma:contentTypeScope="" ma:versionID="8f83af00abe934257372014a506ddfdc">
  <xsd:schema xmlns:xsd="http://www.w3.org/2001/XMLSchema" xmlns:xs="http://www.w3.org/2001/XMLSchema" xmlns:p="http://schemas.microsoft.com/office/2006/metadata/properties" xmlns:ns2="b127f04f-e2db-402c-9642-b359ae0b755c" xmlns:ns3="f3751fdd-ed97-4cf6-ae5b-8f2c94105c7c" targetNamespace="http://schemas.microsoft.com/office/2006/metadata/properties" ma:root="true" ma:fieldsID="38e3a60ec93e14ed675d65f2bf8ec894" ns2:_="" ns3:_="">
    <xsd:import namespace="b127f04f-e2db-402c-9642-b359ae0b755c"/>
    <xsd:import namespace="f3751fdd-ed97-4cf6-ae5b-8f2c94105c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7f04f-e2db-402c-9642-b359ae0b7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81fadb5-81be-487b-866c-b97f84e5bb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751fdd-ed97-4cf6-ae5b-8f2c94105c7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5db31a6-461d-45da-afc0-54e32a18f34c}" ma:internalName="TaxCatchAll" ma:showField="CatchAllData" ma:web="f3751fdd-ed97-4cf6-ae5b-8f2c94105c7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751fdd-ed97-4cf6-ae5b-8f2c94105c7c" xsi:nil="true"/>
    <lcf76f155ced4ddcb4097134ff3c332f xmlns="b127f04f-e2db-402c-9642-b359ae0b75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EA43FC-31BA-4A8C-9828-F097C60913D7}"/>
</file>

<file path=customXml/itemProps2.xml><?xml version="1.0" encoding="utf-8"?>
<ds:datastoreItem xmlns:ds="http://schemas.openxmlformats.org/officeDocument/2006/customXml" ds:itemID="{CB611C7F-DCF8-422E-810D-7586503FE187}"/>
</file>

<file path=customXml/itemProps3.xml><?xml version="1.0" encoding="utf-8"?>
<ds:datastoreItem xmlns:ds="http://schemas.openxmlformats.org/officeDocument/2006/customXml" ds:itemID="{5FB2DCF3-C886-4F57-8514-C0E5650A6BC9}"/>
</file>

<file path=docProps/app.xml><?xml version="1.0" encoding="utf-8"?>
<Properties xmlns="http://schemas.openxmlformats.org/officeDocument/2006/extended-properties" xmlns:vt="http://schemas.openxmlformats.org/officeDocument/2006/docPropsVTypes">
  <Template>Normal.dotm</Template>
  <TotalTime>4</TotalTime>
  <Pages>2</Pages>
  <Words>717</Words>
  <Characters>4093</Characters>
  <Application>Microsoft Office Word</Application>
  <DocSecurity>0</DocSecurity>
  <Lines>34</Lines>
  <Paragraphs>9</Paragraphs>
  <ScaleCrop>false</ScaleCrop>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Sean Ashton</cp:lastModifiedBy>
  <cp:revision>3</cp:revision>
  <dcterms:created xsi:type="dcterms:W3CDTF">2026-01-21T14:37:00Z</dcterms:created>
  <dcterms:modified xsi:type="dcterms:W3CDTF">2026-01-21T16:10:00Z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0x0101006CC05488F2C8294E8B9DB7FC1556790D</vt:lpwstr>
  </property>
</Properties>
</file>