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bidi w:val="0"/>
        <w:spacing w:before="240" w:after="120"/>
        <w:jc w:val="left"/>
        <w:rPr/>
      </w:pPr>
      <w:r>
        <w:rPr/>
        <w:t>IT SECURITY POLICY</w:t>
      </w:r>
    </w:p>
    <w:p>
      <w:pPr>
        <w:pStyle w:val="Heading2"/>
        <w:rPr/>
      </w:pPr>
      <w:bookmarkStart w:id="0" w:name="purpose"/>
      <w:r>
        <w:rPr/>
        <w:t>Purpose</w:t>
      </w:r>
      <w:bookmarkEnd w:id="0"/>
    </w:p>
    <w:p>
      <w:pPr>
        <w:pStyle w:val="FirstParagraph"/>
        <w:rPr/>
      </w:pPr>
      <w:r>
        <w:rPr/>
        <w:t>A M Water Services Ltd recognises that the security of our IT systems and data is essential — to protect the personal data of our employees and subcontractors, the commercial information of our customers (Anglian, Severn Trent and others), and the operational systems that keep AMWS running. This policy sets out the basic controls every AMWS worker is expected to follow, in plain English, scaled to the realities of a 20-person operation.</w:t>
      </w:r>
    </w:p>
    <w:p>
      <w:pPr>
        <w:pStyle w:val="Heading2"/>
        <w:rPr/>
      </w:pPr>
      <w:bookmarkStart w:id="1" w:name="scope"/>
      <w:r>
        <w:rPr/>
        <w:t>Scope</w:t>
      </w:r>
      <w:bookmarkEnd w:id="1"/>
    </w:p>
    <w:p>
      <w:pPr>
        <w:pStyle w:val="FirstParagraph"/>
        <w:rPr/>
      </w:pPr>
      <w:r>
        <w:rPr/>
        <w:t>This policy applies to all employees, directors, labour-supply subcontractors and authorised visitors who access AMWS IT systems — including email, cloud storage, telematics, finance systems, the Van Packs portal and personal devices used for work purposes.</w:t>
      </w:r>
    </w:p>
    <w:p>
      <w:pPr>
        <w:pStyle w:val="Heading2"/>
        <w:rPr/>
      </w:pPr>
      <w:bookmarkStart w:id="2" w:name="legal-requirements"/>
      <w:r>
        <w:rPr/>
        <w:t>Legal Requirements</w:t>
      </w:r>
      <w:bookmarkEnd w:id="2"/>
    </w:p>
    <w:p>
      <w:pPr>
        <w:pStyle w:val="FirstParagraph"/>
        <w:rPr/>
      </w:pPr>
      <w:r>
        <w:rPr/>
        <w:t xml:space="preserve">This policy supports compliance with the </w:t>
      </w:r>
      <w:r>
        <w:rPr>
          <w:b/>
        </w:rPr>
        <w:t>UK GDPR</w:t>
      </w:r>
      <w:r>
        <w:rPr/>
        <w:t xml:space="preserve"> and </w:t>
      </w:r>
      <w:r>
        <w:rPr>
          <w:b/>
        </w:rPr>
        <w:t>Data Protection Act 2018</w:t>
      </w:r>
      <w:r>
        <w:rPr/>
        <w:t xml:space="preserve">, the </w:t>
      </w:r>
      <w:r>
        <w:rPr>
          <w:b/>
        </w:rPr>
        <w:t>Computer Misuse Act 1990</w:t>
      </w:r>
      <w:r>
        <w:rPr/>
        <w:t>, and the AMWS contractual obligations to customers under PR24 framework agreements (including expectations around data handling and breach notification).</w:t>
      </w:r>
    </w:p>
    <w:p>
      <w:pPr>
        <w:pStyle w:val="Heading2"/>
        <w:rPr/>
      </w:pPr>
      <w:bookmarkStart w:id="3" w:name="policy-statement"/>
      <w:r>
        <w:rPr/>
        <w:t>Policy Statement</w:t>
      </w:r>
      <w:bookmarkEnd w:id="3"/>
    </w:p>
    <w:p>
      <w:pPr>
        <w:pStyle w:val="FirstParagraph"/>
        <w:rPr/>
      </w:pPr>
      <w:r>
        <w:rPr/>
        <w:t xml:space="preserve">AMWS commits to keeping IT security </w:t>
      </w:r>
      <w:r>
        <w:rPr>
          <w:b/>
        </w:rPr>
        <w:t>proportionate, practical and observable</w:t>
      </w:r>
      <w:r>
        <w:rPr/>
        <w:t>. We don’t pretend to operate at ISO 27001 scale, but we do operate the basic controls listed below consistently and review them annually.</w:t>
      </w:r>
    </w:p>
    <w:p>
      <w:pPr>
        <w:pStyle w:val="Heading3"/>
        <w:rPr/>
      </w:pPr>
      <w:bookmarkStart w:id="4" w:name="who-has-access-to-what"/>
      <w:r>
        <w:rPr/>
        <w:t>1. Who has access to what</w:t>
      </w:r>
      <w:bookmarkEnd w:id="4"/>
    </w:p>
    <w:p>
      <w:pPr>
        <w:pStyle w:val="ListParagraph"/>
        <w:numPr>
          <w:ilvl w:val="0"/>
          <w:numId w:val="1"/>
        </w:numPr>
        <w:rPr/>
      </w:pPr>
      <w:r>
        <w:rPr/>
        <w:t xml:space="preserve">Access to AMWS systems is </w:t>
      </w:r>
      <w:r>
        <w:rPr>
          <w:b/>
        </w:rPr>
        <w:t>role-based</w:t>
      </w:r>
      <w:r>
        <w:rPr/>
        <w:t>. New starters get only the systems they need; leavers are revoked the same day.</w:t>
      </w:r>
    </w:p>
    <w:p>
      <w:pPr>
        <w:pStyle w:val="ListParagraph"/>
        <w:numPr>
          <w:ilvl w:val="0"/>
          <w:numId w:val="1"/>
        </w:numPr>
        <w:rPr/>
      </w:pPr>
      <w:r>
        <w:rPr/>
        <w:t>A simple access list is maintained by Leanne Mason (Director, HR/Admin). Reviewed at the annual Management Review.</w:t>
      </w:r>
    </w:p>
    <w:p>
      <w:pPr>
        <w:pStyle w:val="ListParagraph"/>
        <w:numPr>
          <w:ilvl w:val="0"/>
          <w:numId w:val="1"/>
        </w:numPr>
        <w:rPr/>
      </w:pPr>
      <w:r>
        <w:rPr/>
        <w:t>The Directors hold the master credentials for finance, telematics, and cloud storage. No shared logins between operatives.</w:t>
      </w:r>
    </w:p>
    <w:p>
      <w:pPr>
        <w:pStyle w:val="Heading3"/>
        <w:rPr/>
      </w:pPr>
      <w:bookmarkStart w:id="5" w:name="X8aeffac913a29b5a08c0201425e3554c9a447f9"/>
      <w:r>
        <w:rPr/>
        <w:t>2. Passwords and multi-factor authentication</w:t>
      </w:r>
      <w:bookmarkEnd w:id="5"/>
    </w:p>
    <w:p>
      <w:pPr>
        <w:pStyle w:val="ListParagraph"/>
        <w:numPr>
          <w:ilvl w:val="0"/>
          <w:numId w:val="1"/>
        </w:numPr>
        <w:rPr/>
      </w:pPr>
      <w:r>
        <w:rPr>
          <w:b/>
        </w:rPr>
        <w:t>MFA is on</w:t>
      </w:r>
      <w:r>
        <w:rPr/>
        <w:t xml:space="preserve"> for: email (Microsoft 365), cloud storage, finance system, the GitHub repo holding the IMS portals.</w:t>
      </w:r>
    </w:p>
    <w:p>
      <w:pPr>
        <w:pStyle w:val="ListParagraph"/>
        <w:numPr>
          <w:ilvl w:val="0"/>
          <w:numId w:val="1"/>
        </w:numPr>
        <w:rPr/>
      </w:pPr>
      <w:r>
        <w:rPr/>
        <w:t xml:space="preserve">Passwords are at least </w:t>
      </w:r>
      <w:r>
        <w:rPr>
          <w:b/>
        </w:rPr>
        <w:t>12 characters</w:t>
      </w:r>
      <w:r>
        <w:rPr/>
        <w:t xml:space="preserve"> and not reused across systems.</w:t>
      </w:r>
    </w:p>
    <w:p>
      <w:pPr>
        <w:pStyle w:val="ListParagraph"/>
        <w:numPr>
          <w:ilvl w:val="0"/>
          <w:numId w:val="1"/>
        </w:numPr>
        <w:rPr/>
      </w:pPr>
      <w:r>
        <w:rPr/>
        <w:t>A password manager is permitted (and encouraged for the Directors and admin); operatives’ work-relevant passwords are written nowhere.</w:t>
      </w:r>
    </w:p>
    <w:p>
      <w:pPr>
        <w:pStyle w:val="ListParagraph"/>
        <w:numPr>
          <w:ilvl w:val="0"/>
          <w:numId w:val="1"/>
        </w:numPr>
        <w:rPr/>
      </w:pPr>
      <w:r>
        <w:rPr/>
        <w:t xml:space="preserve">If a password is suspected compromised, </w:t>
      </w:r>
      <w:r>
        <w:rPr>
          <w:b/>
        </w:rPr>
        <w:t>change it immediately</w:t>
      </w:r>
      <w:r>
        <w:rPr/>
        <w:t xml:space="preserve"> and tell the Directors so the activity log can be checked.</w:t>
      </w:r>
    </w:p>
    <w:p>
      <w:pPr>
        <w:pStyle w:val="Heading3"/>
        <w:rPr/>
      </w:pPr>
      <w:bookmarkStart w:id="6" w:name="email-and-phishing"/>
      <w:r>
        <w:rPr/>
        <w:t>3. Email and phishing</w:t>
      </w:r>
      <w:bookmarkEnd w:id="6"/>
    </w:p>
    <w:p>
      <w:pPr>
        <w:pStyle w:val="ListParagraph"/>
        <w:numPr>
          <w:ilvl w:val="0"/>
          <w:numId w:val="1"/>
        </w:numPr>
        <w:rPr/>
      </w:pPr>
      <w:r>
        <w:rPr/>
        <w:t>Treat unexpected attachments and “urgent payment” emails as suspicious — pause, check the sender domain, ask the Directors before clicking.</w:t>
      </w:r>
    </w:p>
    <w:p>
      <w:pPr>
        <w:pStyle w:val="ListParagraph"/>
        <w:numPr>
          <w:ilvl w:val="0"/>
          <w:numId w:val="1"/>
        </w:numPr>
        <w:rPr/>
      </w:pPr>
      <w:r>
        <w:rPr/>
        <w:t>Don’t forward customer / personal data to personal email accounts.</w:t>
      </w:r>
    </w:p>
    <w:p>
      <w:pPr>
        <w:pStyle w:val="ListParagraph"/>
        <w:numPr>
          <w:ilvl w:val="0"/>
          <w:numId w:val="1"/>
        </w:numPr>
        <w:rPr/>
      </w:pPr>
      <w:r>
        <w:rPr/>
        <w:t>Suspected phishing attempts are forwarded to the Directors and deleted; a brief log is kept in the AMWS HR/IT folder.</w:t>
      </w:r>
    </w:p>
    <w:p>
      <w:pPr>
        <w:pStyle w:val="Heading3"/>
        <w:rPr/>
      </w:pPr>
      <w:bookmarkStart w:id="7" w:name="cloud-storage-backup-and-recovery"/>
      <w:r>
        <w:rPr/>
        <w:t>4. Cloud storage, backup and recovery</w:t>
      </w:r>
      <w:bookmarkEnd w:id="7"/>
    </w:p>
    <w:p>
      <w:pPr>
        <w:pStyle w:val="ListParagraph"/>
        <w:numPr>
          <w:ilvl w:val="0"/>
          <w:numId w:val="1"/>
        </w:numPr>
        <w:rPr/>
      </w:pPr>
      <w:r>
        <w:rPr/>
        <w:t xml:space="preserve">Working files live on the </w:t>
      </w:r>
      <w:r>
        <w:rPr>
          <w:b/>
        </w:rPr>
        <w:t>AMWS shared cloud storage</w:t>
      </w:r>
      <w:r>
        <w:rPr/>
        <w:t xml:space="preserve"> (Microsoft 365 / OneDrive). The cloud provider’s backup is the </w:t>
      </w:r>
      <w:r>
        <w:rPr>
          <w:b/>
        </w:rPr>
        <w:t>primary backup</w:t>
      </w:r>
      <w:r>
        <w:rPr/>
        <w:t>.</w:t>
      </w:r>
    </w:p>
    <w:p>
      <w:pPr>
        <w:pStyle w:val="ListParagraph"/>
        <w:numPr>
          <w:ilvl w:val="0"/>
          <w:numId w:val="1"/>
        </w:numPr>
        <w:rPr/>
      </w:pPr>
      <w:r>
        <w:rPr/>
        <w:t xml:space="preserve">The IMS portals are versioned in </w:t>
      </w:r>
      <w:r>
        <w:rPr>
          <w:b/>
        </w:rPr>
        <w:t>GitHub</w:t>
      </w:r>
      <w:r>
        <w:rPr/>
        <w:t xml:space="preserve"> and deployed via </w:t>
      </w:r>
      <w:r>
        <w:rPr>
          <w:b/>
        </w:rPr>
        <w:t>Cloudflare Pages</w:t>
      </w:r>
      <w:r>
        <w:rPr/>
        <w:t xml:space="preserve"> — Git history is the source of truth.</w:t>
      </w:r>
    </w:p>
    <w:p>
      <w:pPr>
        <w:pStyle w:val="ListParagraph"/>
        <w:numPr>
          <w:ilvl w:val="0"/>
          <w:numId w:val="1"/>
        </w:numPr>
        <w:rPr/>
      </w:pPr>
      <w:r>
        <w:rPr/>
        <w:t>Local copies of controlled documents are working copies only; the portal is master.</w:t>
      </w:r>
    </w:p>
    <w:p>
      <w:pPr>
        <w:pStyle w:val="ListParagraph"/>
        <w:numPr>
          <w:ilvl w:val="0"/>
          <w:numId w:val="1"/>
        </w:numPr>
        <w:rPr/>
      </w:pPr>
      <w:r>
        <w:rPr/>
        <w:t xml:space="preserve">Restore-from-backup procedure documented in </w:t>
      </w:r>
      <w:r>
        <w:rPr>
          <w:b/>
        </w:rPr>
        <w:t>APP_17 — DR &amp; Business Continuity Plan</w:t>
      </w:r>
      <w:r>
        <w:rPr/>
        <w:t>.</w:t>
      </w:r>
    </w:p>
    <w:p>
      <w:pPr>
        <w:pStyle w:val="Heading3"/>
        <w:rPr/>
      </w:pPr>
      <w:bookmarkStart w:id="8" w:name="devices-company-and-personal"/>
      <w:r>
        <w:rPr/>
        <w:t>5. Devices — company and personal</w:t>
      </w:r>
      <w:bookmarkEnd w:id="8"/>
    </w:p>
    <w:p>
      <w:pPr>
        <w:pStyle w:val="ListParagraph"/>
        <w:numPr>
          <w:ilvl w:val="0"/>
          <w:numId w:val="1"/>
        </w:numPr>
        <w:rPr/>
      </w:pPr>
      <w:r>
        <w:rPr>
          <w:b/>
        </w:rPr>
        <w:t>Company laptops / desktops</w:t>
      </w:r>
      <w:r>
        <w:rPr/>
        <w:t xml:space="preserve"> — kept patched (auto-updates on); endpoint antivirus active; locked when unattended; full-disk encryption (BitLocker / FileVault) on.</w:t>
      </w:r>
    </w:p>
    <w:p>
      <w:pPr>
        <w:pStyle w:val="ListParagraph"/>
        <w:numPr>
          <w:ilvl w:val="0"/>
          <w:numId w:val="1"/>
        </w:numPr>
        <w:rPr/>
      </w:pPr>
      <w:r>
        <w:rPr>
          <w:b/>
        </w:rPr>
        <w:t>Mobile phones</w:t>
      </w:r>
      <w:r>
        <w:rPr/>
        <w:t xml:space="preserve"> — protected by a screen lock (PIN, biometric or pattern). Email and cloud apps require the device password.</w:t>
      </w:r>
    </w:p>
    <w:p>
      <w:pPr>
        <w:pStyle w:val="ListParagraph"/>
        <w:numPr>
          <w:ilvl w:val="0"/>
          <w:numId w:val="1"/>
        </w:numPr>
        <w:rPr/>
      </w:pPr>
      <w:r>
        <w:rPr>
          <w:b/>
        </w:rPr>
        <w:t>BYOD</w:t>
      </w:r>
      <w:r>
        <w:rPr/>
        <w:t xml:space="preserve"> — employees and subcontractors using their own phones for the WhatsApp Works group or for accessing email must keep the device locked and not store customer data outside the official apps.</w:t>
      </w:r>
    </w:p>
    <w:p>
      <w:pPr>
        <w:pStyle w:val="ListParagraph"/>
        <w:numPr>
          <w:ilvl w:val="0"/>
          <w:numId w:val="1"/>
        </w:numPr>
        <w:rPr/>
      </w:pPr>
      <w:r>
        <w:rPr/>
        <w:t xml:space="preserve">Devices are </w:t>
      </w:r>
      <w:r>
        <w:rPr>
          <w:b/>
        </w:rPr>
        <w:t>never</w:t>
      </w:r>
      <w:r>
        <w:rPr/>
        <w:t xml:space="preserve"> left in unattended vehicles overnight.</w:t>
      </w:r>
    </w:p>
    <w:p>
      <w:pPr>
        <w:pStyle w:val="Heading3"/>
        <w:rPr/>
      </w:pPr>
      <w:bookmarkStart w:id="9" w:name="disposal-and-reuse"/>
      <w:r>
        <w:rPr/>
        <w:t>6. Disposal and reuse</w:t>
      </w:r>
      <w:bookmarkEnd w:id="9"/>
    </w:p>
    <w:p>
      <w:pPr>
        <w:pStyle w:val="ListParagraph"/>
        <w:numPr>
          <w:ilvl w:val="0"/>
          <w:numId w:val="1"/>
        </w:numPr>
        <w:rPr/>
      </w:pPr>
      <w:r>
        <w:rPr/>
        <w:t>End-of-life laptops and phones are factory-reset (or the disk wiped) before disposal or reuse.</w:t>
      </w:r>
    </w:p>
    <w:p>
      <w:pPr>
        <w:pStyle w:val="ListParagraph"/>
        <w:numPr>
          <w:ilvl w:val="0"/>
          <w:numId w:val="1"/>
        </w:numPr>
        <w:rPr/>
      </w:pPr>
      <w:r>
        <w:rPr/>
        <w:t xml:space="preserve">WEEE flow goes through the route in </w:t>
      </w:r>
      <w:r>
        <w:rPr>
          <w:b/>
        </w:rPr>
        <w:t>SOP 9.6 Environment in the Office</w:t>
      </w:r>
      <w:r>
        <w:rPr/>
        <w:t xml:space="preserve"> and the </w:t>
      </w:r>
      <w:hyperlink r:id="rId2">
        <w:r>
          <w:rPr>
            <w:rStyle w:val="Hyperlink"/>
          </w:rPr>
          <w:t>Recycling Initiatives note</w:t>
        </w:r>
      </w:hyperlink>
      <w:r>
        <w:rPr/>
        <w:t>.</w:t>
      </w:r>
    </w:p>
    <w:p>
      <w:pPr>
        <w:pStyle w:val="ListParagraph"/>
        <w:numPr>
          <w:ilvl w:val="0"/>
          <w:numId w:val="1"/>
        </w:numPr>
        <w:rPr/>
      </w:pPr>
      <w:r>
        <w:rPr/>
        <w:t>Storage media containing customer or personal data are wiped or physically destroyed; a brief record is kept on the IT folder.</w:t>
      </w:r>
    </w:p>
    <w:p>
      <w:pPr>
        <w:pStyle w:val="Heading3"/>
        <w:rPr/>
      </w:pPr>
      <w:bookmarkStart w:id="10" w:name="third-party-it-and-connections"/>
      <w:r>
        <w:rPr/>
        <w:t>7. Third-party IT and connections</w:t>
      </w:r>
      <w:bookmarkEnd w:id="10"/>
    </w:p>
    <w:p>
      <w:pPr>
        <w:pStyle w:val="ListParagraph"/>
        <w:numPr>
          <w:ilvl w:val="0"/>
          <w:numId w:val="1"/>
        </w:numPr>
        <w:rPr/>
      </w:pPr>
      <w:r>
        <w:rPr/>
        <w:t>AMWS does not directly host customer data on its own infrastructure.</w:t>
      </w:r>
    </w:p>
    <w:p>
      <w:pPr>
        <w:pStyle w:val="ListParagraph"/>
        <w:numPr>
          <w:ilvl w:val="0"/>
          <w:numId w:val="1"/>
        </w:numPr>
        <w:rPr/>
      </w:pPr>
      <w:r>
        <w:rPr/>
        <w:t>Customer-system access (Anglian / Severn Trent portals) is via individual named credentials — not shared.</w:t>
      </w:r>
    </w:p>
    <w:p>
      <w:pPr>
        <w:pStyle w:val="ListParagraph"/>
        <w:numPr>
          <w:ilvl w:val="0"/>
          <w:numId w:val="1"/>
        </w:numPr>
        <w:rPr/>
      </w:pPr>
      <w:r>
        <w:rPr/>
        <w:t xml:space="preserve">Suppliers with IT access (e.g. Grenke for leasing, Lyreco for stationery account) are reviewed at the </w:t>
      </w:r>
      <w:r>
        <w:rPr>
          <w:b/>
        </w:rPr>
        <w:t>APP_19 Supplier Annual Review</w:t>
      </w:r>
      <w:r>
        <w:rPr/>
        <w:t xml:space="preserve"> the same way as physical-goods suppliers.</w:t>
      </w:r>
    </w:p>
    <w:p>
      <w:pPr>
        <w:pStyle w:val="Heading3"/>
        <w:rPr/>
      </w:pPr>
      <w:bookmarkStart w:id="11" w:name="incident-response"/>
      <w:r>
        <w:rPr/>
        <w:t>8. Incident response</w:t>
      </w:r>
      <w:bookmarkEnd w:id="11"/>
    </w:p>
    <w:p>
      <w:pPr>
        <w:pStyle w:val="ListParagraph"/>
        <w:numPr>
          <w:ilvl w:val="0"/>
          <w:numId w:val="1"/>
        </w:numPr>
        <w:rPr/>
      </w:pPr>
      <w:r>
        <w:rPr/>
        <w:t xml:space="preserve">A suspected IT-security incident (suspicious activity, lost device, confirmed phishing click) is </w:t>
      </w:r>
      <w:r>
        <w:rPr>
          <w:b/>
        </w:rPr>
        <w:t>reported within 24 hours</w:t>
      </w:r>
      <w:r>
        <w:rPr/>
        <w:t xml:space="preserve"> to the Directors.</w:t>
      </w:r>
    </w:p>
    <w:p>
      <w:pPr>
        <w:pStyle w:val="ListParagraph"/>
        <w:numPr>
          <w:ilvl w:val="0"/>
          <w:numId w:val="1"/>
        </w:numPr>
        <w:rPr/>
      </w:pPr>
      <w:r>
        <w:rPr/>
        <w:t>Pathway:</w:t>
      </w:r>
    </w:p>
    <w:p>
      <w:pPr>
        <w:pStyle w:val="ListParagraph"/>
        <w:numPr>
          <w:ilvl w:val="1"/>
          <w:numId w:val="14"/>
        </w:numPr>
        <w:rPr/>
      </w:pPr>
      <w:r>
        <w:rPr/>
        <w:t>Isolate — disconnect the affected device from the network and from cloud accounts</w:t>
      </w:r>
    </w:p>
    <w:p>
      <w:pPr>
        <w:pStyle w:val="ListParagraph"/>
        <w:numPr>
          <w:ilvl w:val="1"/>
          <w:numId w:val="9"/>
        </w:numPr>
        <w:rPr/>
      </w:pPr>
      <w:r>
        <w:rPr/>
        <w:t>Notify — Directors first, then the cloud provider’s support line</w:t>
      </w:r>
    </w:p>
    <w:p>
      <w:pPr>
        <w:pStyle w:val="ListParagraph"/>
        <w:numPr>
          <w:ilvl w:val="1"/>
          <w:numId w:val="9"/>
        </w:numPr>
        <w:rPr/>
      </w:pPr>
      <w:r>
        <w:rPr/>
        <w:t>Assess — what data was potentially exposed?</w:t>
      </w:r>
    </w:p>
    <w:p>
      <w:pPr>
        <w:pStyle w:val="ListParagraph"/>
        <w:numPr>
          <w:ilvl w:val="1"/>
          <w:numId w:val="9"/>
        </w:numPr>
        <w:rPr/>
      </w:pPr>
      <w:r>
        <w:rPr/>
        <w:t>Decide — do we have a notifiable personal-data breach under UK GDPR (72-hour ICO notification window)?</w:t>
      </w:r>
    </w:p>
    <w:p>
      <w:pPr>
        <w:pStyle w:val="ListParagraph"/>
        <w:numPr>
          <w:ilvl w:val="1"/>
          <w:numId w:val="9"/>
        </w:numPr>
        <w:rPr/>
      </w:pPr>
      <w:r>
        <w:rPr/>
        <w:t xml:space="preserve">Document — incident logged in </w:t>
      </w:r>
      <w:r>
        <w:rPr>
          <w:b/>
        </w:rPr>
        <w:t>APP_21 NC &amp; Improvement Register</w:t>
      </w:r>
      <w:r>
        <w:rPr/>
        <w:t>; lessons fed into the next BCP review</w:t>
      </w:r>
    </w:p>
    <w:p>
      <w:pPr>
        <w:pStyle w:val="ListParagraph"/>
        <w:numPr>
          <w:ilvl w:val="0"/>
          <w:numId w:val="1"/>
        </w:numPr>
        <w:rPr/>
      </w:pPr>
      <w:r>
        <w:rPr/>
        <w:t xml:space="preserve">This pathway integrates with </w:t>
      </w:r>
      <w:r>
        <w:rPr>
          <w:b/>
        </w:rPr>
        <w:t>SOP 8.1 Accident, Incident &amp; Near Miss Reporting</w:t>
      </w:r>
      <w:r>
        <w:rPr/>
        <w:t xml:space="preserve"> and </w:t>
      </w:r>
      <w:r>
        <w:rPr>
          <w:b/>
        </w:rPr>
        <w:t>APP_17 BCP</w:t>
      </w:r>
      <w:r>
        <w:rPr/>
        <w:t>.</w:t>
      </w:r>
    </w:p>
    <w:p>
      <w:pPr>
        <w:pStyle w:val="Heading3"/>
        <w:rPr/>
      </w:pPr>
      <w:bookmarkStart w:id="12" w:name="training-and-awareness"/>
      <w:r>
        <w:rPr/>
        <w:t>9. Training and awareness</w:t>
      </w:r>
      <w:bookmarkEnd w:id="12"/>
    </w:p>
    <w:p>
      <w:pPr>
        <w:pStyle w:val="ListParagraph"/>
        <w:numPr>
          <w:ilvl w:val="0"/>
          <w:numId w:val="1"/>
        </w:numPr>
        <w:rPr/>
      </w:pPr>
      <w:r>
        <w:rPr/>
        <w:t xml:space="preserve">IT-security awareness is a </w:t>
      </w:r>
      <w:r>
        <w:rPr>
          <w:b/>
        </w:rPr>
        <w:t>standing toolbox-talk topic</w:t>
      </w:r>
      <w:r>
        <w:rPr/>
        <w:t xml:space="preserve"> — added to the </w:t>
      </w:r>
      <w:hyperlink r:id="rId3">
        <w:r>
          <w:rPr>
            <w:rStyle w:val="Hyperlink"/>
          </w:rPr>
          <w:t>TBT programme</w:t>
        </w:r>
      </w:hyperlink>
      <w:r>
        <w:rPr/>
        <w:t xml:space="preserve"> on annual rotation.</w:t>
      </w:r>
    </w:p>
    <w:p>
      <w:pPr>
        <w:pStyle w:val="ListParagraph"/>
        <w:numPr>
          <w:ilvl w:val="0"/>
          <w:numId w:val="1"/>
        </w:numPr>
        <w:rPr/>
      </w:pPr>
      <w:r>
        <w:rPr/>
        <w:t>New starters receive a 10-minute IT-security briefing during onboarding (covered by the Acknowledgement Sheet).</w:t>
      </w:r>
    </w:p>
    <w:p>
      <w:pPr>
        <w:pStyle w:val="ListParagraph"/>
        <w:numPr>
          <w:ilvl w:val="0"/>
          <w:numId w:val="1"/>
        </w:numPr>
        <w:rPr/>
      </w:pPr>
      <w:r>
        <w:rPr/>
        <w:t>The Directors review their own IT-security knowledge annually as part of the Management Review.</w:t>
      </w:r>
    </w:p>
    <w:p>
      <w:pPr>
        <w:pStyle w:val="Heading2"/>
        <w:rPr/>
      </w:pPr>
      <w:bookmarkStart w:id="13" w:name="roles-and-responsibilities"/>
      <w:r>
        <w:rPr/>
        <w:t>Roles and responsibilities</w:t>
      </w:r>
      <w:bookmarkEnd w:id="13"/>
    </w:p>
    <w:tbl>
      <w:tblPr>
        <w:tblW w:w="9360" w:type="dxa"/>
        <w:jc w:val="left"/>
        <w:tblInd w:w="103" w:type="dxa"/>
        <w:tblLayout w:type="fixed"/>
        <w:tblCellMar>
          <w:top w:w="0" w:type="dxa"/>
          <w:left w:w="108" w:type="dxa"/>
          <w:bottom w:w="0" w:type="dxa"/>
          <w:right w:w="108" w:type="dxa"/>
        </w:tblCellMar>
        <w:tblLook w:firstRow="1"/>
      </w:tblPr>
      <w:tblGrid>
        <w:gridCol w:w="4680"/>
        <w:gridCol w:w="4680"/>
      </w:tblGrid>
      <w:tr>
        <w:trPr>
          <w:cnfStyle w:firstRow="1"/>
        </w:trPr>
        <w:tc>
          <w:tcPr>
            <w:tcW w:w="4680" w:type="dxa"/>
            <w:tcBorders>
              <w:top w:val="single" w:sz="4" w:space="0" w:color="AAAAAA"/>
              <w:left w:val="single" w:sz="4" w:space="0" w:color="AAAAAA"/>
              <w:bottom w:val="single" w:sz="6" w:space="0" w:color="000000"/>
              <w:right w:val="single" w:sz="4" w:space="0" w:color="AAAAAA"/>
            </w:tcBorders>
            <w:vAlign w:val="bottom"/>
          </w:tcPr>
          <w:p>
            <w:pPr>
              <w:pStyle w:val="Normal"/>
              <w:jc w:val="left"/>
              <w:rPr/>
            </w:pPr>
            <w:r>
              <w:rPr/>
              <w:t>Role</w:t>
            </w:r>
          </w:p>
        </w:tc>
        <w:tc>
          <w:tcPr>
            <w:tcW w:w="4680" w:type="dxa"/>
            <w:tcBorders>
              <w:top w:val="single" w:sz="4" w:space="0" w:color="AAAAAA"/>
              <w:left w:val="single" w:sz="4" w:space="0" w:color="AAAAAA"/>
              <w:bottom w:val="single" w:sz="6" w:space="0" w:color="000000"/>
              <w:right w:val="single" w:sz="4" w:space="0" w:color="AAAAAA"/>
            </w:tcBorders>
            <w:vAlign w:val="bottom"/>
          </w:tcPr>
          <w:p>
            <w:pPr>
              <w:pStyle w:val="Normal"/>
              <w:jc w:val="left"/>
              <w:rPr/>
            </w:pPr>
            <w:r>
              <w:rPr/>
              <w:t>Responsibility</w:t>
            </w:r>
          </w:p>
        </w:tc>
      </w:tr>
      <w:tr>
        <w:trPr/>
        <w:tc>
          <w:tcPr>
            <w:tcW w:w="4680" w:type="dxa"/>
            <w:tcBorders>
              <w:top w:val="single" w:sz="4" w:space="0" w:color="AAAAAA"/>
              <w:left w:val="single" w:sz="4" w:space="0" w:color="AAAAAA"/>
              <w:bottom w:val="single" w:sz="4" w:space="0" w:color="AAAAAA"/>
              <w:right w:val="single" w:sz="4" w:space="0" w:color="AAAAAA"/>
            </w:tcBorders>
          </w:tcPr>
          <w:p>
            <w:pPr>
              <w:pStyle w:val="Normal"/>
              <w:jc w:val="left"/>
              <w:rPr/>
            </w:pPr>
            <w:r>
              <w:rPr>
                <w:b/>
              </w:rPr>
              <w:t>Aaron Mason</w:t>
            </w:r>
            <w:r>
              <w:rPr/>
              <w:t xml:space="preserve"> (Managing Director)</w:t>
            </w:r>
          </w:p>
        </w:tc>
        <w:tc>
          <w:tcPr>
            <w:tcW w:w="4680" w:type="dxa"/>
            <w:tcBorders>
              <w:top w:val="single" w:sz="4" w:space="0" w:color="AAAAAA"/>
              <w:left w:val="single" w:sz="4" w:space="0" w:color="AAAAAA"/>
              <w:bottom w:val="single" w:sz="4" w:space="0" w:color="AAAAAA"/>
              <w:right w:val="single" w:sz="4" w:space="0" w:color="AAAAAA"/>
            </w:tcBorders>
          </w:tcPr>
          <w:p>
            <w:pPr>
              <w:pStyle w:val="Normal"/>
              <w:jc w:val="left"/>
              <w:rPr/>
            </w:pPr>
            <w:r>
              <w:rPr/>
              <w:t>Owns IT-security strategy; final decision on incidents; manages master credentials</w:t>
            </w:r>
          </w:p>
        </w:tc>
      </w:tr>
      <w:tr>
        <w:trPr/>
        <w:tc>
          <w:tcPr>
            <w:tcW w:w="4680" w:type="dxa"/>
            <w:tcBorders>
              <w:top w:val="single" w:sz="4" w:space="0" w:color="AAAAAA"/>
              <w:left w:val="single" w:sz="4" w:space="0" w:color="AAAAAA"/>
              <w:bottom w:val="single" w:sz="4" w:space="0" w:color="AAAAAA"/>
              <w:right w:val="single" w:sz="4" w:space="0" w:color="AAAAAA"/>
            </w:tcBorders>
          </w:tcPr>
          <w:p>
            <w:pPr>
              <w:pStyle w:val="Normal"/>
              <w:jc w:val="left"/>
              <w:rPr/>
            </w:pPr>
            <w:r>
              <w:rPr>
                <w:b/>
              </w:rPr>
              <w:t>Leanne Mason</w:t>
            </w:r>
            <w:r>
              <w:rPr/>
              <w:t xml:space="preserve"> (Director, HR/Admin)</w:t>
            </w:r>
          </w:p>
        </w:tc>
        <w:tc>
          <w:tcPr>
            <w:tcW w:w="4680" w:type="dxa"/>
            <w:tcBorders>
              <w:top w:val="single" w:sz="4" w:space="0" w:color="AAAAAA"/>
              <w:left w:val="single" w:sz="4" w:space="0" w:color="AAAAAA"/>
              <w:bottom w:val="single" w:sz="4" w:space="0" w:color="AAAAAA"/>
              <w:right w:val="single" w:sz="4" w:space="0" w:color="AAAAAA"/>
            </w:tcBorders>
          </w:tcPr>
          <w:p>
            <w:pPr>
              <w:pStyle w:val="Normal"/>
              <w:jc w:val="left"/>
              <w:rPr/>
            </w:pPr>
            <w:r>
              <w:rPr/>
              <w:t>Maintains access list; manages new-starter / leaver access; runs annual access review</w:t>
            </w:r>
          </w:p>
        </w:tc>
      </w:tr>
      <w:tr>
        <w:trPr/>
        <w:tc>
          <w:tcPr>
            <w:tcW w:w="4680" w:type="dxa"/>
            <w:tcBorders>
              <w:top w:val="single" w:sz="4" w:space="0" w:color="AAAAAA"/>
              <w:left w:val="single" w:sz="4" w:space="0" w:color="AAAAAA"/>
              <w:bottom w:val="single" w:sz="4" w:space="0" w:color="AAAAAA"/>
              <w:right w:val="single" w:sz="4" w:space="0" w:color="AAAAAA"/>
            </w:tcBorders>
          </w:tcPr>
          <w:p>
            <w:pPr>
              <w:pStyle w:val="Normal"/>
              <w:jc w:val="left"/>
              <w:rPr/>
            </w:pPr>
            <w:r>
              <w:rPr>
                <w:b/>
              </w:rPr>
              <w:t>Sean Ashton</w:t>
            </w:r>
            <w:r>
              <w:rPr/>
              <w:t xml:space="preserve"> (HSQE Consultant, Onyx)</w:t>
            </w:r>
          </w:p>
        </w:tc>
        <w:tc>
          <w:tcPr>
            <w:tcW w:w="4680" w:type="dxa"/>
            <w:tcBorders>
              <w:top w:val="single" w:sz="4" w:space="0" w:color="AAAAAA"/>
              <w:left w:val="single" w:sz="4" w:space="0" w:color="AAAAAA"/>
              <w:bottom w:val="single" w:sz="4" w:space="0" w:color="AAAAAA"/>
              <w:right w:val="single" w:sz="4" w:space="0" w:color="AAAAAA"/>
            </w:tcBorders>
          </w:tcPr>
          <w:p>
            <w:pPr>
              <w:pStyle w:val="Normal"/>
              <w:jc w:val="left"/>
              <w:rPr/>
            </w:pPr>
            <w:r>
              <w:rPr/>
              <w:t>Ensures policy + incident pathway is current; reviews annually as part of IMS review</w:t>
            </w:r>
          </w:p>
        </w:tc>
      </w:tr>
      <w:tr>
        <w:trPr/>
        <w:tc>
          <w:tcPr>
            <w:tcW w:w="4680" w:type="dxa"/>
            <w:tcBorders>
              <w:top w:val="single" w:sz="4" w:space="0" w:color="AAAAAA"/>
              <w:left w:val="single" w:sz="4" w:space="0" w:color="AAAAAA"/>
              <w:bottom w:val="single" w:sz="4" w:space="0" w:color="AAAAAA"/>
              <w:right w:val="single" w:sz="4" w:space="0" w:color="AAAAAA"/>
            </w:tcBorders>
          </w:tcPr>
          <w:p>
            <w:pPr>
              <w:pStyle w:val="Normal"/>
              <w:jc w:val="left"/>
              <w:rPr/>
            </w:pPr>
            <w:r>
              <w:rPr>
                <w:b/>
              </w:rPr>
              <w:t>All workers</w:t>
            </w:r>
          </w:p>
        </w:tc>
        <w:tc>
          <w:tcPr>
            <w:tcW w:w="4680" w:type="dxa"/>
            <w:tcBorders>
              <w:top w:val="single" w:sz="4" w:space="0" w:color="AAAAAA"/>
              <w:left w:val="single" w:sz="4" w:space="0" w:color="AAAAAA"/>
              <w:bottom w:val="single" w:sz="4" w:space="0" w:color="AAAAAA"/>
              <w:right w:val="single" w:sz="4" w:space="0" w:color="AAAAAA"/>
            </w:tcBorders>
          </w:tcPr>
          <w:p>
            <w:pPr>
              <w:pStyle w:val="Normal"/>
              <w:jc w:val="left"/>
              <w:rPr/>
            </w:pPr>
            <w:r>
              <w:rPr/>
              <w:t>Follow this policy; report incidents within 24 hours; keep devices locked and patched</w:t>
            </w:r>
          </w:p>
        </w:tc>
      </w:tr>
    </w:tbl>
    <w:p>
      <w:pPr>
        <w:pStyle w:val="Heading2"/>
        <w:rPr/>
      </w:pPr>
      <w:bookmarkStart w:id="14" w:name="whats-deliberately-not-in-this-policy"/>
      <w:r>
        <w:rPr/>
        <w:t>What’s deliberately NOT in this policy</w:t>
      </w:r>
      <w:bookmarkEnd w:id="14"/>
    </w:p>
    <w:p>
      <w:pPr>
        <w:pStyle w:val="FirstParagraph"/>
        <w:rPr/>
      </w:pPr>
      <w:r>
        <w:rPr/>
        <w:t>This is a small-business policy, scaled to AMWS’s actual risk:</w:t>
      </w:r>
    </w:p>
    <w:p>
      <w:pPr>
        <w:pStyle w:val="ListParagraph"/>
        <w:numPr>
          <w:ilvl w:val="0"/>
          <w:numId w:val="1"/>
        </w:numPr>
        <w:rPr/>
      </w:pPr>
      <w:r>
        <w:rPr>
          <w:b/>
        </w:rPr>
        <w:t>No ISMS, no Statement of Applicability</w:t>
      </w:r>
      <w:r>
        <w:rPr/>
        <w:t xml:space="preserve"> — we are not seeking ISO 27001 certification. We operate basic controls and review them.</w:t>
      </w:r>
    </w:p>
    <w:p>
      <w:pPr>
        <w:pStyle w:val="ListParagraph"/>
        <w:numPr>
          <w:ilvl w:val="0"/>
          <w:numId w:val="1"/>
        </w:numPr>
        <w:rPr/>
      </w:pPr>
      <w:r>
        <w:rPr>
          <w:b/>
        </w:rPr>
        <w:t>No formal data-classification scheme</w:t>
      </w:r>
      <w:r>
        <w:rPr/>
        <w:t xml:space="preserve"> — in practice AMWS handles two classes: customer / personal data (treated carefully) and operational data (treated like any business document). Adding classification labels would be procedural overhead with no risk reduction.</w:t>
      </w:r>
    </w:p>
    <w:p>
      <w:pPr>
        <w:pStyle w:val="ListParagraph"/>
        <w:numPr>
          <w:ilvl w:val="0"/>
          <w:numId w:val="1"/>
        </w:numPr>
        <w:rPr/>
      </w:pPr>
      <w:r>
        <w:rPr>
          <w:b/>
        </w:rPr>
        <w:t>No SIEM, no security operations centre</w:t>
      </w:r>
      <w:r>
        <w:rPr/>
        <w:t xml:space="preserve"> — we rely on the cloud provider’s built-in monitoring and on staff reporting.</w:t>
      </w:r>
    </w:p>
    <w:p>
      <w:pPr>
        <w:pStyle w:val="FirstParagraph"/>
        <w:rPr/>
      </w:pPr>
      <w:r>
        <w:rPr/>
        <w:t>If AMWS’s risk profile changes (new customer with explicit ISO 27001 requirement, growth past ~50 staff, taking custody of third-party data), this policy is reviewed and the controls scaled up to match.</w:t>
      </w:r>
    </w:p>
    <w:p>
      <w:pPr>
        <w:pStyle w:val="Heading2"/>
        <w:rPr/>
      </w:pPr>
      <w:bookmarkStart w:id="15" w:name="review"/>
      <w:r>
        <w:rPr/>
        <w:t>Review</w:t>
      </w:r>
      <w:bookmarkEnd w:id="15"/>
    </w:p>
    <w:p>
      <w:pPr>
        <w:pStyle w:val="FirstParagraph"/>
        <w:rPr/>
      </w:pPr>
      <w:r>
        <w:rPr/>
        <w:t>This policy is reviewed annually or sooner if:</w:t>
      </w:r>
    </w:p>
    <w:p>
      <w:pPr>
        <w:pStyle w:val="ListParagraph"/>
        <w:numPr>
          <w:ilvl w:val="0"/>
          <w:numId w:val="1"/>
        </w:numPr>
        <w:rPr/>
      </w:pPr>
      <w:r>
        <w:rPr/>
        <w:t>A material IT-security incident occurs at AMWS or in the supply chain</w:t>
      </w:r>
    </w:p>
    <w:p>
      <w:pPr>
        <w:pStyle w:val="ListParagraph"/>
        <w:numPr>
          <w:ilvl w:val="0"/>
          <w:numId w:val="1"/>
        </w:numPr>
        <w:rPr/>
      </w:pPr>
      <w:r>
        <w:rPr/>
        <w:t>A customer requires a higher-tier control (e.g. PR24 supply-chain cyber expectations escalate)</w:t>
      </w:r>
    </w:p>
    <w:p>
      <w:pPr>
        <w:pStyle w:val="ListParagraph"/>
        <w:numPr>
          <w:ilvl w:val="0"/>
          <w:numId w:val="1"/>
        </w:numPr>
        <w:rPr/>
      </w:pPr>
      <w:r>
        <w:rPr/>
        <w:t>Government / ICO guidance changes materially</w:t>
      </w:r>
    </w:p>
    <w:p>
      <w:pPr>
        <w:pStyle w:val="ListParagraph"/>
        <w:numPr>
          <w:ilvl w:val="0"/>
          <w:numId w:val="1"/>
        </w:numPr>
        <w:rPr/>
      </w:pPr>
      <w:r>
        <w:rPr/>
        <w:t>AMWS adopts a substantially new system (e.g. a new finance package or telematics platform)</w:t>
      </w:r>
    </w:p>
    <w:p>
      <w:pPr>
        <w:pStyle w:val="FirstParagraph"/>
        <w:rPr>
          <w:i/>
        </w:rPr>
      </w:pPr>
      <w:r>
        <w:rPr>
          <w:i/>
        </w:rPr>
        <w:t>This document forms part of A M Water Services Limited’s Integrated Management System. Paper copies are uncontrolled when printed.</w:t>
      </w:r>
    </w:p>
    <w:p>
      <w:pPr>
        <w:pStyle w:val="BodyText"/>
        <w:rPr>
          <w:i/>
        </w:rPr>
      </w:pPr>
      <w:r>
        <w:rPr>
          <w:i/>
        </w:rPr>
      </w:r>
    </w:p>
    <w:p>
      <w:pPr>
        <w:pStyle w:val="BodyText"/>
        <w:rPr>
          <w:i/>
        </w:rPr>
      </w:pPr>
      <w:r>
        <w:rPr>
          <w:i/>
        </w:rPr>
      </w:r>
    </w:p>
    <w:p>
      <w:pPr>
        <w:pStyle w:val="BodyText"/>
        <w:rPr>
          <w:i/>
        </w:rPr>
      </w:pPr>
      <w:r>
        <w:rPr>
          <w:i/>
        </w:rPr>
      </w:r>
    </w:p>
    <w:p>
      <w:pPr>
        <w:pStyle w:val="BodyText"/>
        <w:rPr>
          <w:i/>
        </w:rPr>
      </w:pPr>
      <w:r>
        <w:rPr>
          <w:i/>
        </w:rPr>
      </w:r>
    </w:p>
    <w:p>
      <w:pPr>
        <w:pStyle w:val="BodyText"/>
        <w:rPr>
          <w:i/>
        </w:rPr>
      </w:pPr>
      <w:r>
        <w:rPr>
          <w:i/>
        </w:rPr>
      </w:r>
    </w:p>
    <w:p>
      <w:pPr>
        <w:pStyle w:val="BodyText"/>
        <w:rPr>
          <w:i/>
        </w:rPr>
      </w:pPr>
      <w:r>
        <w:rPr>
          <w:i/>
        </w:rPr>
      </w:r>
    </w:p>
    <w:p>
      <w:pPr>
        <w:pStyle w:val="BodyText"/>
        <w:rPr>
          <w:i/>
        </w:rPr>
      </w:pPr>
      <w:r>
        <w:rPr>
          <w:i/>
        </w:rPr>
      </w:r>
    </w:p>
    <w:p>
      <w:pPr>
        <w:pStyle w:val="BodyText"/>
        <w:rPr>
          <w:i/>
        </w:rPr>
      </w:pPr>
      <w:r>
        <w:rPr>
          <w:i/>
        </w:rPr>
      </w:r>
    </w:p>
    <w:p>
      <w:pPr>
        <w:pStyle w:val="Heading2"/>
        <w:rPr/>
      </w:pPr>
      <w:bookmarkStart w:id="16" w:name="audit-trail"/>
      <w:r>
        <w:rPr/>
        <w:t>Audit trail</w:t>
      </w:r>
      <w:bookmarkEnd w:id="16"/>
    </w:p>
    <w:tbl>
      <w:tblPr>
        <w:tblW w:w="9360" w:type="dxa"/>
        <w:jc w:val="left"/>
        <w:tblInd w:w="103" w:type="dxa"/>
        <w:tblLayout w:type="fixed"/>
        <w:tblCellMar>
          <w:top w:w="0" w:type="dxa"/>
          <w:left w:w="108" w:type="dxa"/>
          <w:bottom w:w="0" w:type="dxa"/>
          <w:right w:w="108" w:type="dxa"/>
        </w:tblCellMar>
        <w:tblLook w:firstRow="1"/>
      </w:tblPr>
      <w:tblGrid>
        <w:gridCol w:w="1300"/>
        <w:gridCol w:w="1025"/>
        <w:gridCol w:w="1588"/>
        <w:gridCol w:w="5447"/>
      </w:tblGrid>
      <w:tr>
        <w:trPr>
          <w:cnfStyle w:firstRow="1"/>
        </w:trPr>
        <w:tc>
          <w:tcPr>
            <w:tcW w:w="1300" w:type="dxa"/>
            <w:tcBorders>
              <w:top w:val="single" w:sz="4" w:space="0" w:color="AAAAAA"/>
              <w:left w:val="single" w:sz="4" w:space="0" w:color="AAAAAA"/>
              <w:bottom w:val="single" w:sz="6" w:space="0" w:color="000000"/>
              <w:right w:val="single" w:sz="4" w:space="0" w:color="AAAAAA"/>
            </w:tcBorders>
            <w:vAlign w:val="bottom"/>
          </w:tcPr>
          <w:p>
            <w:pPr>
              <w:pStyle w:val="Normal"/>
              <w:jc w:val="left"/>
              <w:rPr/>
            </w:pPr>
            <w:r>
              <w:rPr/>
              <w:t>Date</w:t>
            </w:r>
          </w:p>
        </w:tc>
        <w:tc>
          <w:tcPr>
            <w:tcW w:w="1025" w:type="dxa"/>
            <w:tcBorders>
              <w:top w:val="single" w:sz="4" w:space="0" w:color="AAAAAA"/>
              <w:left w:val="single" w:sz="4" w:space="0" w:color="AAAAAA"/>
              <w:bottom w:val="single" w:sz="6" w:space="0" w:color="000000"/>
              <w:right w:val="single" w:sz="4" w:space="0" w:color="AAAAAA"/>
            </w:tcBorders>
            <w:vAlign w:val="bottom"/>
          </w:tcPr>
          <w:p>
            <w:pPr>
              <w:pStyle w:val="Normal"/>
              <w:jc w:val="left"/>
              <w:rPr/>
            </w:pPr>
            <w:r>
              <w:rPr/>
              <w:t>Action</w:t>
            </w:r>
          </w:p>
        </w:tc>
        <w:tc>
          <w:tcPr>
            <w:tcW w:w="1588" w:type="dxa"/>
            <w:tcBorders>
              <w:top w:val="single" w:sz="4" w:space="0" w:color="AAAAAA"/>
              <w:left w:val="single" w:sz="4" w:space="0" w:color="AAAAAA"/>
              <w:bottom w:val="single" w:sz="6" w:space="0" w:color="000000"/>
              <w:right w:val="single" w:sz="4" w:space="0" w:color="AAAAAA"/>
            </w:tcBorders>
            <w:vAlign w:val="bottom"/>
          </w:tcPr>
          <w:p>
            <w:pPr>
              <w:pStyle w:val="Normal"/>
              <w:jc w:val="left"/>
              <w:rPr/>
            </w:pPr>
            <w:r>
              <w:rPr/>
              <w:t>By</w:t>
            </w:r>
          </w:p>
        </w:tc>
        <w:tc>
          <w:tcPr>
            <w:tcW w:w="5447" w:type="dxa"/>
            <w:tcBorders>
              <w:top w:val="single" w:sz="4" w:space="0" w:color="AAAAAA"/>
              <w:left w:val="single" w:sz="4" w:space="0" w:color="AAAAAA"/>
              <w:bottom w:val="single" w:sz="6" w:space="0" w:color="000000"/>
              <w:right w:val="single" w:sz="4" w:space="0" w:color="AAAAAA"/>
            </w:tcBorders>
            <w:vAlign w:val="bottom"/>
          </w:tcPr>
          <w:p>
            <w:pPr>
              <w:pStyle w:val="Normal"/>
              <w:jc w:val="left"/>
              <w:rPr/>
            </w:pPr>
            <w:r>
              <w:rPr/>
              <w:t>Details</w:t>
            </w:r>
          </w:p>
        </w:tc>
      </w:tr>
      <w:tr>
        <w:trPr/>
        <w:tc>
          <w:tcPr>
            <w:tcW w:w="1300" w:type="dxa"/>
            <w:tcBorders>
              <w:top w:val="single" w:sz="4" w:space="0" w:color="AAAAAA"/>
              <w:left w:val="single" w:sz="4" w:space="0" w:color="AAAAAA"/>
              <w:bottom w:val="single" w:sz="4" w:space="0" w:color="AAAAAA"/>
              <w:right w:val="single" w:sz="4" w:space="0" w:color="AAAAAA"/>
            </w:tcBorders>
          </w:tcPr>
          <w:p>
            <w:pPr>
              <w:pStyle w:val="Normal"/>
              <w:jc w:val="left"/>
              <w:rPr/>
            </w:pPr>
            <w:r>
              <w:rPr/>
              <w:t>04/05/2026</w:t>
            </w:r>
          </w:p>
        </w:tc>
        <w:tc>
          <w:tcPr>
            <w:tcW w:w="1025" w:type="dxa"/>
            <w:tcBorders>
              <w:top w:val="single" w:sz="4" w:space="0" w:color="AAAAAA"/>
              <w:left w:val="single" w:sz="4" w:space="0" w:color="AAAAAA"/>
              <w:bottom w:val="single" w:sz="4" w:space="0" w:color="AAAAAA"/>
              <w:right w:val="single" w:sz="4" w:space="0" w:color="AAAAAA"/>
            </w:tcBorders>
          </w:tcPr>
          <w:p>
            <w:pPr>
              <w:pStyle w:val="Normal"/>
              <w:jc w:val="left"/>
              <w:rPr/>
            </w:pPr>
            <w:r>
              <w:rPr/>
              <w:t>Issue 1</w:t>
            </w:r>
          </w:p>
        </w:tc>
        <w:tc>
          <w:tcPr>
            <w:tcW w:w="1588" w:type="dxa"/>
            <w:tcBorders>
              <w:top w:val="single" w:sz="4" w:space="0" w:color="AAAAAA"/>
              <w:left w:val="single" w:sz="4" w:space="0" w:color="AAAAAA"/>
              <w:bottom w:val="single" w:sz="4" w:space="0" w:color="AAAAAA"/>
              <w:right w:val="single" w:sz="4" w:space="0" w:color="AAAAAA"/>
            </w:tcBorders>
          </w:tcPr>
          <w:p>
            <w:pPr>
              <w:pStyle w:val="Normal"/>
              <w:jc w:val="left"/>
              <w:rPr/>
            </w:pPr>
            <w:r>
              <w:rPr/>
              <w:t>Sean Ashton, HSQE Consultant</w:t>
            </w:r>
          </w:p>
        </w:tc>
        <w:tc>
          <w:tcPr>
            <w:tcW w:w="5447" w:type="dxa"/>
            <w:tcBorders>
              <w:top w:val="single" w:sz="4" w:space="0" w:color="AAAAAA"/>
              <w:left w:val="single" w:sz="4" w:space="0" w:color="AAAAAA"/>
              <w:bottom w:val="single" w:sz="4" w:space="0" w:color="AAAAAA"/>
              <w:right w:val="single" w:sz="4" w:space="0" w:color="AAAAAA"/>
            </w:tcBorders>
          </w:tcPr>
          <w:p>
            <w:pPr>
              <w:pStyle w:val="Normal"/>
              <w:jc w:val="left"/>
              <w:rPr/>
            </w:pPr>
            <w:r>
              <w:rPr/>
              <w:t>New standalone IT Security policy, scaled to AMWS’s actual size and risk. Deliberately not an ISO 27001 ISMS — covers access, passwords, cloud/backup, email, devices/BYOD, disposal, third-party IT, incident response, training. Pairs with SOP 8.1 (incident reporting), APP_17 (BCP) and APP_21 (NCR/improvement register).</w:t>
            </w:r>
          </w:p>
        </w:tc>
      </w:tr>
    </w:tbl>
    <w:p>
      <w:pPr>
        <w:pStyle w:val="Heading3"/>
        <w:rPr>
          <w:color w:val="000000"/>
        </w:rPr>
      </w:pPr>
      <w:r>
        <w:rPr>
          <w:color w:val="000000"/>
        </w:rPr>
      </w:r>
    </w:p>
    <w:p>
      <w:pPr>
        <w:pStyle w:val="Heading3"/>
        <w:rPr>
          <w:b/>
          <w:bCs/>
          <w:color w:val="000000"/>
        </w:rPr>
      </w:pPr>
      <w:r>
        <w:rPr>
          <w:b/>
          <w:bCs/>
          <w:color w:val="000000"/>
        </w:rPr>
        <w:t>Signed:</w:t>
      </w:r>
    </w:p>
    <w:p>
      <w:pPr>
        <w:pStyle w:val="Heading3"/>
        <w:rPr>
          <w:color w:val="000000"/>
        </w:rPr>
      </w:pPr>
      <w:r>
        <w:rPr>
          <w:color w:val="000000"/>
        </w:rPr>
      </w:r>
    </w:p>
    <w:p>
      <w:pPr>
        <w:pStyle w:val="Heading3"/>
        <w:rPr>
          <w:color w:val="000000"/>
        </w:rPr>
      </w:pPr>
      <w:r>
        <w:rPr>
          <w:color w:val="000000"/>
        </w:rPr>
        <w:t>Aaron Mason</w:t>
      </w:r>
    </w:p>
    <w:p>
      <w:pPr>
        <w:pStyle w:val="Heading3"/>
        <w:rPr>
          <w:color w:val="000000"/>
        </w:rPr>
      </w:pPr>
      <w:r>
        <w:rPr>
          <w:color w:val="000000"/>
        </w:rPr>
        <w:t>Director</w:t>
      </w:r>
    </w:p>
    <w:p>
      <w:pPr>
        <w:pStyle w:val="Heading3"/>
        <w:rPr>
          <w:color w:val="000000"/>
        </w:rPr>
      </w:pPr>
      <w:r>
        <w:rPr>
          <w:color w:val="000000"/>
        </w:rPr>
        <w:t>A M Water Services Ltd</w:t>
      </w:r>
    </w:p>
    <w:p>
      <w:pPr>
        <w:pStyle w:val="Heading3"/>
        <w:rPr>
          <w:color w:val="000000"/>
        </w:rPr>
      </w:pPr>
      <w:r>
        <w:rPr>
          <w:color w:val="000000"/>
        </w:rPr>
        <w:t>4</w:t>
      </w:r>
      <w:r>
        <w:rPr>
          <w:color w:val="000000"/>
          <w:vertAlign w:val="superscript"/>
        </w:rPr>
        <w:t>th</w:t>
      </w:r>
      <w:r>
        <w:rPr>
          <w:color w:val="000000"/>
        </w:rPr>
        <w:t xml:space="preserve"> May 2026</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40" w:right="144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Liberation Sans">
    <w:altName w:val="Arial"/>
    <w:charset w:val="01"/>
    <w:family w:val="swiss"/>
    <w:pitch w:val="variable"/>
  </w:font>
  <w:font w:name="Aptos">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irstParagraph"/>
      <w:spacing w:before="180" w:after="180"/>
      <w:ind w:right="360"/>
      <w:rPr/>
    </w:pPr>
    <w:r>
      <w:rPr/>
      <w:t>Document Reference: POL_HSQE_30 | Revision: 1 | Date: 4 May 2026</w:t>
    </w:r>
    <w:r>
      <mc:AlternateContent>
        <mc:Choice Requires="wps">
          <w:drawing>
            <wp:anchor distT="0" distB="0" distL="0" distR="0" simplePos="0" relativeHeight="9" behindDoc="0" locked="0" layoutInCell="0" allowOverlap="1">
              <wp:simplePos x="0" y="0"/>
              <wp:positionH relativeFrom="margin">
                <wp:align>right</wp:align>
              </wp:positionH>
              <wp:positionV relativeFrom="paragraph">
                <wp:posOffset>635</wp:posOffset>
              </wp:positionV>
              <wp:extent cx="349250" cy="160655"/>
              <wp:effectExtent l="0" t="0" r="0" b="0"/>
              <wp:wrapNone/>
              <wp:docPr id="3" name="Frame1"/>
              <a:graphic xmlns:a="http://schemas.openxmlformats.org/drawingml/2006/main">
                <a:graphicData uri="http://schemas.microsoft.com/office/word/2010/wordprocessingShape">
                  <wps:wsp>
                    <wps:cNvSpPr txBox="1"/>
                    <wps:spPr>
                      <a:xfrm>
                        <a:off x="0" y="0"/>
                        <a:ext cx="349250" cy="160655"/>
                      </a:xfrm>
                      <a:prstGeom prst="rect"/>
                      <a:solidFill>
                        <a:srgbClr val="FFFFFF">
                          <a:alpha val="0"/>
                        </a:srgbClr>
                      </a:solidFill>
                    </wps:spPr>
                    <wps:txbx>
                      <w:txbxContent>
                        <w:sdt>
                          <w:sdtPr>
                            <w:id w:val="-157921668"/>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r>
                                <w:rPr>
                                  <w:rStyle w:val="PageNumber"/>
                                </w:rPr>
                                <w:t xml:space="preserve">of </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27.5pt;height:12.65pt;mso-wrap-distance-left:0pt;mso-wrap-distance-right:0pt;mso-wrap-distance-top:0pt;mso-wrap-distance-bottom:0pt;margin-top:0.05pt;mso-position-vertical-relative:text;margin-left:423.8pt;mso-position-horizontal:right;mso-position-horizontal-relative:margin">
              <v:fill opacity="0f"/>
              <v:textbox inset="0in,0in,0in,0in">
                <w:txbxContent>
                  <w:sdt>
                    <w:sdtPr>
                      <w:id w:val="-157921668"/>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r>
                          <w:rPr>
                            <w:rStyle w:val="PageNumber"/>
                          </w:rPr>
                          <w:t xml:space="preserve">of </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sdtContent>
                  </w:sdt>
                </w:txbxContent>
              </v:textbox>
              <w10:wrap type="none"/>
            </v:rect>
          </w:pict>
        </mc:Fallback>
      </mc:AlternateContent>
    </w:r>
  </w:p>
  <w:p>
    <w:pPr>
      <w:pStyle w:val="Normal"/>
      <w:rPr/>
    </w:pPr>
    <w:r>
      <w:rPr/>
      <w:t>Next Review: 4 May 2027 | Uncontrolled when printed</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irstParagraph"/>
      <w:spacing w:before="180" w:after="180"/>
      <w:ind w:right="360"/>
      <w:rPr/>
    </w:pPr>
    <w:r>
      <w:rPr/>
      <w:t>Document Reference: POL_HSQE_30 | Revision: 1 | Date: 4 May 2026</w:t>
    </w:r>
    <w:r>
      <mc:AlternateContent>
        <mc:Choice Requires="wps">
          <w:drawing>
            <wp:anchor distT="0" distB="0" distL="0" distR="0" simplePos="0" relativeHeight="9" behindDoc="0" locked="0" layoutInCell="0" allowOverlap="1">
              <wp:simplePos x="0" y="0"/>
              <wp:positionH relativeFrom="margin">
                <wp:align>right</wp:align>
              </wp:positionH>
              <wp:positionV relativeFrom="paragraph">
                <wp:posOffset>635</wp:posOffset>
              </wp:positionV>
              <wp:extent cx="349250" cy="160655"/>
              <wp:effectExtent l="0" t="0" r="0" b="0"/>
              <wp:wrapNone/>
              <wp:docPr id="4" name="Frame1"/>
              <a:graphic xmlns:a="http://schemas.openxmlformats.org/drawingml/2006/main">
                <a:graphicData uri="http://schemas.microsoft.com/office/word/2010/wordprocessingShape">
                  <wps:wsp>
                    <wps:cNvSpPr txBox="1"/>
                    <wps:spPr>
                      <a:xfrm>
                        <a:off x="0" y="0"/>
                        <a:ext cx="349250" cy="160655"/>
                      </a:xfrm>
                      <a:prstGeom prst="rect"/>
                      <a:solidFill>
                        <a:srgbClr val="FFFFFF">
                          <a:alpha val="0"/>
                        </a:srgbClr>
                      </a:solidFill>
                    </wps:spPr>
                    <wps:txbx>
                      <w:txbxContent>
                        <w:sdt>
                          <w:sdtPr>
                            <w:id w:val="-157921668"/>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r>
                                <w:rPr>
                                  <w:rStyle w:val="PageNumber"/>
                                </w:rPr>
                                <w:t xml:space="preserve">of </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27.5pt;height:12.65pt;mso-wrap-distance-left:0pt;mso-wrap-distance-right:0pt;mso-wrap-distance-top:0pt;mso-wrap-distance-bottom:0pt;margin-top:0.05pt;mso-position-vertical-relative:text;margin-left:423.8pt;mso-position-horizontal:right;mso-position-horizontal-relative:margin">
              <v:fill opacity="0f"/>
              <v:textbox inset="0in,0in,0in,0in">
                <w:txbxContent>
                  <w:sdt>
                    <w:sdtPr>
                      <w:id w:val="-157921668"/>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r>
                          <w:rPr>
                            <w:rStyle w:val="PageNumber"/>
                          </w:rPr>
                          <w:t xml:space="preserve">of </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sdtContent>
                  </w:sdt>
                </w:txbxContent>
              </v:textbox>
              <w10:wrap type="none"/>
            </v:rect>
          </w:pict>
        </mc:Fallback>
      </mc:AlternateContent>
    </w:r>
  </w:p>
  <w:p>
    <w:pPr>
      <w:pStyle w:val="Normal"/>
      <w:rPr/>
    </w:pPr>
    <w:r>
      <w:rPr/>
      <w:t>Next Review: 4 May 2027 | Uncontrolled when printed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drawing>
        <wp:inline distT="0" distB="0" distL="0" distR="0">
          <wp:extent cx="1437640" cy="547370"/>
          <wp:effectExtent l="0" t="0" r="0" b="0"/>
          <wp:docPr id="1"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etter with white text&#10;&#10;AI-generated content may be incorrect."/>
                  <pic:cNvPicPr>
                    <a:picLocks noChangeAspect="1" noChangeArrowheads="1"/>
                  </pic:cNvPicPr>
                </pic:nvPicPr>
                <pic:blipFill>
                  <a:blip r:embed="rId1"/>
                  <a:stretch>
                    <a:fillRect/>
                  </a:stretch>
                </pic:blipFill>
                <pic:spPr bwMode="auto">
                  <a:xfrm>
                    <a:off x="0" y="0"/>
                    <a:ext cx="1437640" cy="54737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drawing>
        <wp:inline distT="0" distB="0" distL="0" distR="0">
          <wp:extent cx="1437640" cy="547370"/>
          <wp:effectExtent l="0" t="0" r="0" b="0"/>
          <wp:docPr id="2"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letter with white text&#10;&#10;AI-generated content may be incorrect."/>
                  <pic:cNvPicPr>
                    <a:picLocks noChangeAspect="1" noChangeArrowheads="1"/>
                  </pic:cNvPicPr>
                </pic:nvPicPr>
                <pic:blipFill>
                  <a:blip r:embed="rId1"/>
                  <a:stretch>
                    <a:fillRect/>
                  </a:stretch>
                </pic:blipFill>
                <pic:spPr bwMode="auto">
                  <a:xfrm>
                    <a:off x="0" y="0"/>
                    <a:ext cx="1437640" cy="54737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4">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5">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6">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7">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8">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9">
    <w:lvl w:ilvl="0">
      <w:start w:val="1"/>
      <w:numFmt w:val="decimal"/>
      <w:lvlText w:val="%1."/>
      <w:lvlJc w:val="left"/>
      <w:pPr>
        <w:tabs>
          <w:tab w:val="num" w:pos="0"/>
        </w:tabs>
        <w:ind w:left="480" w:hanging="480"/>
      </w:pPr>
      <w:rPr/>
    </w:lvl>
    <w:lvl w:ilvl="1">
      <w:start w:val="1"/>
      <w:numFmt w:val="decimal"/>
      <w:lvlText w:val="%2."/>
      <w:lvlJc w:val="left"/>
      <w:pPr>
        <w:tabs>
          <w:tab w:val="num" w:pos="720"/>
        </w:tabs>
        <w:ind w:left="1200" w:hanging="480"/>
      </w:pPr>
      <w:rPr/>
    </w:lvl>
    <w:lvl w:ilvl="2">
      <w:start w:val="1"/>
      <w:numFmt w:val="decimal"/>
      <w:lvlText w:val="%3."/>
      <w:lvlJc w:val="left"/>
      <w:pPr>
        <w:tabs>
          <w:tab w:val="num" w:pos="1440"/>
        </w:tabs>
        <w:ind w:left="1920" w:hanging="480"/>
      </w:pPr>
      <w:rPr/>
    </w:lvl>
    <w:lvl w:ilvl="3">
      <w:start w:val="1"/>
      <w:numFmt w:val="decimal"/>
      <w:lvlText w:val="%4."/>
      <w:lvlJc w:val="left"/>
      <w:pPr>
        <w:tabs>
          <w:tab w:val="num" w:pos="2160"/>
        </w:tabs>
        <w:ind w:left="2640" w:hanging="480"/>
      </w:pPr>
      <w:rPr/>
    </w:lvl>
    <w:lvl w:ilvl="4">
      <w:start w:val="1"/>
      <w:numFmt w:val="decimal"/>
      <w:lvlText w:val="%5."/>
      <w:lvlJc w:val="left"/>
      <w:pPr>
        <w:tabs>
          <w:tab w:val="num" w:pos="2880"/>
        </w:tabs>
        <w:ind w:left="3360" w:hanging="480"/>
      </w:pPr>
      <w:rPr/>
    </w:lvl>
    <w:lvl w:ilvl="5">
      <w:start w:val="1"/>
      <w:numFmt w:val="decimal"/>
      <w:lvlText w:val="%6."/>
      <w:lvlJc w:val="left"/>
      <w:pPr>
        <w:tabs>
          <w:tab w:val="num" w:pos="3600"/>
        </w:tabs>
        <w:ind w:left="4080" w:hanging="480"/>
      </w:pPr>
      <w:rPr/>
    </w:lvl>
    <w:lvl w:ilvl="6">
      <w:start w:val="1"/>
      <w:numFmt w:val="decimal"/>
      <w:lvlText w:val="%7."/>
      <w:lvlJc w:val="left"/>
      <w:pPr>
        <w:tabs>
          <w:tab w:val="num" w:pos="4320"/>
        </w:tabs>
        <w:ind w:left="4800" w:hanging="480"/>
      </w:pPr>
      <w:rPr/>
    </w:lvl>
    <w:lvl w:ilvl="7">
      <w:start w:val="1"/>
      <w:numFmt w:val="decimal"/>
      <w:lvlText w:val="%8."/>
      <w:lvlJc w:val="left"/>
      <w:pPr>
        <w:tabs>
          <w:tab w:val="num" w:pos="5040"/>
        </w:tabs>
        <w:ind w:left="5520" w:hanging="480"/>
      </w:pPr>
      <w:rPr/>
    </w:lvl>
    <w:lvl w:ilvl="8">
      <w:start w:val="1"/>
      <w:numFmt w:val="decimal"/>
      <w:lvlText w:val="%9."/>
      <w:lvlJc w:val="left"/>
      <w:pPr>
        <w:tabs>
          <w:tab w:val="num" w:pos="5760"/>
        </w:tabs>
        <w:ind w:left="6240" w:hanging="480"/>
      </w:pPr>
      <w:rPr/>
    </w:lvl>
  </w:abstractNum>
  <w:abstractNum w:abstractNumId="10">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1">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2">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9"/>
    <w:lvlOverride w:ilvl="0">
      <w:startOverride w:val="1"/>
    </w:lvlOverride>
    <w:lvlOverride w:ilvl="1">
      <w:startOverride w:val="1"/>
    </w:lvlOverride>
  </w:num>
</w:numbering>
</file>

<file path=word/settings.xml><?xml version="1.0" encoding="utf-8"?>
<w:settings xmlns:w="http://schemas.openxmlformats.org/wordprocessingml/2006/main">
  <w:zoom w:percent="90"/>
  <w:embedSystemFonts/>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Arial" w:hAnsi="Arial" w:eastAsia="Arial" w:cs="Arial"/>
      <w:color w:val="auto"/>
      <w:kern w:val="0"/>
      <w:sz w:val="22"/>
      <w:szCs w:val="22"/>
      <w:lang w:val="en-GB" w:eastAsia="en-GB" w:bidi="ar-SA"/>
    </w:rPr>
  </w:style>
  <w:style w:type="paragraph" w:styleId="Heading1">
    <w:name w:val="heading 1"/>
    <w:uiPriority w:val="9"/>
    <w:qFormat/>
    <w:pPr>
      <w:widowControl/>
      <w:bidi w:val="0"/>
      <w:spacing w:before="240" w:after="120"/>
      <w:jc w:val="left"/>
      <w:outlineLvl w:val="0"/>
    </w:pPr>
    <w:rPr>
      <w:rFonts w:ascii="Arial" w:hAnsi="Arial" w:eastAsia="Arial" w:cs="Arial"/>
      <w:b/>
      <w:bCs/>
      <w:color w:val="2E74B5"/>
      <w:kern w:val="0"/>
      <w:sz w:val="36"/>
      <w:szCs w:val="36"/>
      <w:lang w:val="en-GB" w:eastAsia="en-GB" w:bidi="ar-SA"/>
    </w:rPr>
  </w:style>
  <w:style w:type="paragraph" w:styleId="Heading2">
    <w:name w:val="heading 2"/>
    <w:uiPriority w:val="9"/>
    <w:unhideWhenUsed/>
    <w:qFormat/>
    <w:pPr>
      <w:widowControl/>
      <w:bidi w:val="0"/>
      <w:spacing w:before="200" w:after="80"/>
      <w:jc w:val="left"/>
      <w:outlineLvl w:val="1"/>
    </w:pPr>
    <w:rPr>
      <w:rFonts w:ascii="Arial" w:hAnsi="Arial" w:eastAsia="Arial" w:cs="Arial"/>
      <w:b/>
      <w:bCs/>
      <w:color w:val="2E74B5"/>
      <w:kern w:val="0"/>
      <w:sz w:val="26"/>
      <w:szCs w:val="26"/>
      <w:lang w:val="en-GB" w:eastAsia="en-GB" w:bidi="ar-SA"/>
    </w:rPr>
  </w:style>
  <w:style w:type="paragraph" w:styleId="Heading3">
    <w:name w:val="heading 3"/>
    <w:uiPriority w:val="9"/>
    <w:semiHidden/>
    <w:unhideWhenUsed/>
    <w:qFormat/>
    <w:pPr>
      <w:widowControl/>
      <w:bidi w:val="0"/>
      <w:spacing w:before="0" w:after="0"/>
      <w:jc w:val="left"/>
      <w:outlineLvl w:val="2"/>
    </w:pPr>
    <w:rPr>
      <w:rFonts w:ascii="Arial" w:hAnsi="Arial" w:eastAsia="Arial" w:cs="Arial"/>
      <w:color w:val="1F4D78"/>
      <w:kern w:val="0"/>
      <w:sz w:val="24"/>
      <w:szCs w:val="24"/>
      <w:lang w:val="en-GB" w:eastAsia="en-GB" w:bidi="ar-SA"/>
    </w:rPr>
  </w:style>
  <w:style w:type="paragraph" w:styleId="Heading4">
    <w:name w:val="heading 4"/>
    <w:uiPriority w:val="9"/>
    <w:semiHidden/>
    <w:unhideWhenUsed/>
    <w:qFormat/>
    <w:pPr>
      <w:widowControl/>
      <w:bidi w:val="0"/>
      <w:spacing w:before="0" w:after="0"/>
      <w:jc w:val="left"/>
      <w:outlineLvl w:val="3"/>
    </w:pPr>
    <w:rPr>
      <w:rFonts w:ascii="Arial" w:hAnsi="Arial" w:eastAsia="Arial" w:cs="Arial"/>
      <w:i/>
      <w:iCs/>
      <w:color w:val="2E74B5"/>
      <w:kern w:val="0"/>
      <w:sz w:val="22"/>
      <w:szCs w:val="22"/>
      <w:lang w:val="en-GB" w:eastAsia="en-GB" w:bidi="ar-SA"/>
    </w:rPr>
  </w:style>
  <w:style w:type="paragraph" w:styleId="Heading5">
    <w:name w:val="heading 5"/>
    <w:uiPriority w:val="9"/>
    <w:semiHidden/>
    <w:unhideWhenUsed/>
    <w:qFormat/>
    <w:pPr>
      <w:widowControl/>
      <w:bidi w:val="0"/>
      <w:spacing w:before="0" w:after="0"/>
      <w:jc w:val="left"/>
      <w:outlineLvl w:val="4"/>
    </w:pPr>
    <w:rPr>
      <w:rFonts w:ascii="Arial" w:hAnsi="Arial" w:eastAsia="Arial" w:cs="Arial"/>
      <w:color w:val="2E74B5"/>
      <w:kern w:val="0"/>
      <w:sz w:val="22"/>
      <w:szCs w:val="22"/>
      <w:lang w:val="en-GB" w:eastAsia="en-GB" w:bidi="ar-SA"/>
    </w:rPr>
  </w:style>
  <w:style w:type="paragraph" w:styleId="Heading6">
    <w:name w:val="heading 6"/>
    <w:uiPriority w:val="9"/>
    <w:semiHidden/>
    <w:unhideWhenUsed/>
    <w:qFormat/>
    <w:pPr>
      <w:widowControl/>
      <w:bidi w:val="0"/>
      <w:spacing w:before="0" w:after="0"/>
      <w:jc w:val="left"/>
      <w:outlineLvl w:val="5"/>
    </w:pPr>
    <w:rPr>
      <w:rFonts w:ascii="Arial" w:hAnsi="Arial" w:eastAsia="Arial" w:cs="Arial"/>
      <w:color w:val="1F4D78"/>
      <w:kern w:val="0"/>
      <w:sz w:val="22"/>
      <w:szCs w:val="22"/>
      <w:lang w:val="en-GB" w:eastAsia="en-GB" w:bidi="ar-SA"/>
    </w:rPr>
  </w:style>
  <w:style w:type="character" w:styleId="DefaultParagraphFont" w:default="1">
    <w:name w:val="Default Paragraph Font"/>
    <w:uiPriority w:val="1"/>
    <w:semiHidden/>
    <w:unhideWhenUsed/>
    <w:qFormat/>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customStyle="1">
    <w:name w:val="Footnote Text Char"/>
    <w:link w:val="FootnoteText"/>
    <w:uiPriority w:val="99"/>
    <w:semiHidden/>
    <w:unhideWhenUsed/>
    <w:qFormat/>
    <w:rPr>
      <w:sz w:val="20"/>
      <w:szCs w:val="20"/>
    </w:rPr>
  </w:style>
  <w:style w:type="character" w:styleId="HeaderChar" w:customStyle="1">
    <w:name w:val="Header Char"/>
    <w:basedOn w:val="DefaultParagraphFont"/>
    <w:link w:val="Header"/>
    <w:qFormat/>
    <w:rsid w:val="00894b29"/>
    <w:rPr/>
  </w:style>
  <w:style w:type="character" w:styleId="FooterChar" w:customStyle="1">
    <w:name w:val="Footer Char"/>
    <w:basedOn w:val="DefaultParagraphFont"/>
    <w:link w:val="Footer"/>
    <w:qFormat/>
    <w:rsid w:val="00894b29"/>
    <w:rPr/>
  </w:style>
  <w:style w:type="character" w:styleId="PageNumber">
    <w:name w:val="page number"/>
    <w:basedOn w:val="DefaultParagraphFont"/>
    <w:rsid w:val="00894b29"/>
    <w:rPr/>
  </w:style>
  <w:style w:type="character" w:styleId="BodyTextChar" w:customStyle="1">
    <w:name w:val="Body Text Char"/>
    <w:basedOn w:val="DefaultParagraphFont"/>
    <w:uiPriority w:val="99"/>
    <w:semiHidden/>
    <w:qFormat/>
    <w:rsid w:val="00894b29"/>
    <w:rPr/>
  </w:style>
  <w:style w:type="character" w:styleId="KeywordTok" w:customStyle="1">
    <w:name w:val="KeywordTok"/>
    <w:qFormat/>
    <w:rPr>
      <w:b/>
      <w:color w:val="007020"/>
    </w:rPr>
  </w:style>
  <w:style w:type="character" w:styleId="DataTypeTok" w:customStyle="1">
    <w:name w:val="DataTypeTok"/>
    <w:qFormat/>
    <w:rPr>
      <w:color w:val="902000"/>
    </w:rPr>
  </w:style>
  <w:style w:type="character" w:styleId="DecValTok" w:customStyle="1">
    <w:name w:val="DecValTok"/>
    <w:qFormat/>
    <w:rPr>
      <w:color w:val="40A070"/>
    </w:rPr>
  </w:style>
  <w:style w:type="character" w:styleId="BaseNTok" w:customStyle="1">
    <w:name w:val="BaseNTok"/>
    <w:qFormat/>
    <w:rPr>
      <w:color w:val="40A070"/>
    </w:rPr>
  </w:style>
  <w:style w:type="character" w:styleId="FloatTok" w:customStyle="1">
    <w:name w:val="FloatTok"/>
    <w:qFormat/>
    <w:rPr>
      <w:color w:val="40A070"/>
    </w:rPr>
  </w:style>
  <w:style w:type="character" w:styleId="ConstantTok" w:customStyle="1">
    <w:name w:val="ConstantTok"/>
    <w:qFormat/>
    <w:rPr>
      <w:color w:val="880000"/>
    </w:rPr>
  </w:style>
  <w:style w:type="character" w:styleId="CharTok" w:customStyle="1">
    <w:name w:val="CharTok"/>
    <w:qFormat/>
    <w:rPr>
      <w:color w:val="4070A0"/>
    </w:rPr>
  </w:style>
  <w:style w:type="character" w:styleId="SpecialCharTok" w:customStyle="1">
    <w:name w:val="SpecialCharTok"/>
    <w:qFormat/>
    <w:rPr>
      <w:color w:val="4070A0"/>
    </w:rPr>
  </w:style>
  <w:style w:type="character" w:styleId="StringTok" w:customStyle="1">
    <w:name w:val="StringTok"/>
    <w:qFormat/>
    <w:rPr>
      <w:color w:val="4070A0"/>
    </w:rPr>
  </w:style>
  <w:style w:type="character" w:styleId="VerbatimStringTok" w:customStyle="1">
    <w:name w:val="VerbatimStringTok"/>
    <w:qFormat/>
    <w:rPr>
      <w:color w:val="4070A0"/>
    </w:rPr>
  </w:style>
  <w:style w:type="character" w:styleId="SpecialStringTok" w:customStyle="1">
    <w:name w:val="SpecialStringTok"/>
    <w:qFormat/>
    <w:rPr>
      <w:color w:val="BB6688"/>
    </w:rPr>
  </w:style>
  <w:style w:type="character" w:styleId="ImportTok" w:customStyle="1">
    <w:name w:val="ImportTok"/>
    <w:qFormat/>
    <w:rPr/>
  </w:style>
  <w:style w:type="character" w:styleId="CommentTok" w:customStyle="1">
    <w:name w:val="CommentTok"/>
    <w:qFormat/>
    <w:rPr>
      <w:i/>
      <w:color w:val="60A0B0"/>
    </w:rPr>
  </w:style>
  <w:style w:type="character" w:styleId="DocumentationTok" w:customStyle="1">
    <w:name w:val="DocumentationTok"/>
    <w:qFormat/>
    <w:rPr>
      <w:i/>
      <w:color w:val="BA2121"/>
    </w:rPr>
  </w:style>
  <w:style w:type="character" w:styleId="AnnotationTok" w:customStyle="1">
    <w:name w:val="AnnotationTok"/>
    <w:qFormat/>
    <w:rPr>
      <w:b/>
      <w:i/>
      <w:color w:val="60A0B0"/>
    </w:rPr>
  </w:style>
  <w:style w:type="character" w:styleId="CommentVarTok" w:customStyle="1">
    <w:name w:val="CommentVarTok"/>
    <w:qFormat/>
    <w:rPr>
      <w:b/>
      <w:i/>
      <w:color w:val="60A0B0"/>
    </w:rPr>
  </w:style>
  <w:style w:type="character" w:styleId="OtherTok" w:customStyle="1">
    <w:name w:val="OtherTok"/>
    <w:qFormat/>
    <w:rPr>
      <w:color w:val="007020"/>
    </w:rPr>
  </w:style>
  <w:style w:type="character" w:styleId="FunctionTok" w:customStyle="1">
    <w:name w:val="FunctionTok"/>
    <w:qFormat/>
    <w:rPr>
      <w:color w:val="06287E"/>
    </w:rPr>
  </w:style>
  <w:style w:type="character" w:styleId="VariableTok" w:customStyle="1">
    <w:name w:val="VariableTok"/>
    <w:qFormat/>
    <w:rPr>
      <w:color w:val="19177C"/>
    </w:rPr>
  </w:style>
  <w:style w:type="character" w:styleId="ControlFlowTok" w:customStyle="1">
    <w:name w:val="ControlFlowTok"/>
    <w:qFormat/>
    <w:rPr>
      <w:b/>
      <w:color w:val="007020"/>
    </w:rPr>
  </w:style>
  <w:style w:type="character" w:styleId="OperatorTok" w:customStyle="1">
    <w:name w:val="OperatorTok"/>
    <w:qFormat/>
    <w:rPr>
      <w:color w:val="666666"/>
    </w:rPr>
  </w:style>
  <w:style w:type="character" w:styleId="BuiltInTok" w:customStyle="1">
    <w:name w:val="BuiltInTok"/>
    <w:qFormat/>
    <w:rPr/>
  </w:style>
  <w:style w:type="character" w:styleId="ExtensionTok" w:customStyle="1">
    <w:name w:val="ExtensionTok"/>
    <w:qFormat/>
    <w:rPr/>
  </w:style>
  <w:style w:type="character" w:styleId="PreprocessorTok" w:customStyle="1">
    <w:name w:val="PreprocessorTok"/>
    <w:qFormat/>
    <w:rPr>
      <w:color w:val="BC7A00"/>
    </w:rPr>
  </w:style>
  <w:style w:type="character" w:styleId="AttributeTok" w:customStyle="1">
    <w:name w:val="AttributeTok"/>
    <w:qFormat/>
    <w:rPr>
      <w:color w:val="7D9029"/>
    </w:rPr>
  </w:style>
  <w:style w:type="character" w:styleId="RegionMarkerTok" w:customStyle="1">
    <w:name w:val="RegionMarkerTok"/>
    <w:qFormat/>
    <w:rPr/>
  </w:style>
  <w:style w:type="character" w:styleId="InformationTok" w:customStyle="1">
    <w:name w:val="InformationTok"/>
    <w:qFormat/>
    <w:rPr>
      <w:b/>
      <w:i/>
      <w:color w:val="60A0B0"/>
    </w:rPr>
  </w:style>
  <w:style w:type="character" w:styleId="WarningTok" w:customStyle="1">
    <w:name w:val="WarningTok"/>
    <w:qFormat/>
    <w:rPr>
      <w:b/>
      <w:i/>
      <w:color w:val="60A0B0"/>
    </w:rPr>
  </w:style>
  <w:style w:type="character" w:styleId="AlertTok" w:customStyle="1">
    <w:name w:val="AlertTok"/>
    <w:qFormat/>
    <w:rPr>
      <w:b/>
      <w:color w:val="FF0000"/>
    </w:rPr>
  </w:style>
  <w:style w:type="character" w:styleId="ErrorTok" w:customStyle="1">
    <w:name w:val="ErrorTok"/>
    <w:qFormat/>
    <w:rPr>
      <w:b/>
      <w:color w:val="FF0000"/>
    </w:rPr>
  </w:style>
  <w:style w:type="character" w:styleId="NormalTok" w:customStyle="1">
    <w:name w:val="NormalTok"/>
    <w:qFormat/>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BodyTextChar"/>
    <w:uiPriority w:val="99"/>
    <w:semiHidden/>
    <w:unhideWhenUsed/>
    <w:rsid w:val="00894b29"/>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uiPriority w:val="10"/>
    <w:qFormat/>
    <w:pPr>
      <w:widowControl/>
      <w:bidi w:val="0"/>
      <w:spacing w:before="0" w:after="0"/>
      <w:jc w:val="left"/>
    </w:pPr>
    <w:rPr>
      <w:rFonts w:ascii="Arial" w:hAnsi="Arial" w:eastAsia="Arial" w:cs="Arial"/>
      <w:color w:val="auto"/>
      <w:kern w:val="0"/>
      <w:sz w:val="56"/>
      <w:szCs w:val="56"/>
      <w:lang w:val="en-GB" w:eastAsia="en-GB" w:bidi="ar-SA"/>
    </w:rPr>
  </w:style>
  <w:style w:type="paragraph" w:styleId="Strong1" w:customStyle="1">
    <w:name w:val="Strong1"/>
    <w:qFormat/>
    <w:pPr>
      <w:widowControl/>
      <w:bidi w:val="0"/>
      <w:spacing w:before="0" w:after="0"/>
      <w:jc w:val="left"/>
    </w:pPr>
    <w:rPr>
      <w:rFonts w:ascii="Arial" w:hAnsi="Arial" w:eastAsia="Arial" w:cs="Arial"/>
      <w:b/>
      <w:bCs/>
      <w:color w:val="auto"/>
      <w:kern w:val="0"/>
      <w:sz w:val="22"/>
      <w:szCs w:val="22"/>
      <w:lang w:val="en-GB" w:eastAsia="en-GB" w:bidi="ar-SA"/>
    </w:rPr>
  </w:style>
  <w:style w:type="paragraph" w:styleId="ListParagraph">
    <w:name w:val="List Paragraph"/>
    <w:qFormat/>
    <w:pPr>
      <w:widowControl/>
      <w:bidi w:val="0"/>
      <w:spacing w:before="0" w:after="0"/>
      <w:jc w:val="left"/>
    </w:pPr>
    <w:rPr>
      <w:rFonts w:ascii="Arial" w:hAnsi="Arial" w:eastAsia="Arial" w:cs="Arial"/>
      <w:color w:val="auto"/>
      <w:kern w:val="0"/>
      <w:sz w:val="22"/>
      <w:szCs w:val="22"/>
      <w:lang w:val="en-GB" w:eastAsia="en-GB" w:bidi="ar-SA"/>
    </w:rPr>
  </w:style>
  <w:style w:type="paragraph" w:styleId="FootnoteText">
    <w:name w:val="footnote text"/>
    <w:link w:val="FootnoteTextChar"/>
    <w:uiPriority w:val="99"/>
    <w:semiHidden/>
    <w:unhideWhenUsed/>
    <w:pPr>
      <w:widowControl/>
      <w:bidi w:val="0"/>
      <w:spacing w:before="0" w:after="0"/>
      <w:jc w:val="left"/>
    </w:pPr>
    <w:rPr>
      <w:rFonts w:ascii="Arial" w:hAnsi="Arial" w:eastAsia="Arial" w:cs="Arial"/>
      <w:color w:val="auto"/>
      <w:kern w:val="0"/>
      <w:sz w:val="20"/>
      <w:szCs w:val="20"/>
      <w:lang w:val="en-GB" w:eastAsia="en-GB" w:bidi="ar-SA"/>
    </w:rPr>
  </w:style>
  <w:style w:type="paragraph" w:styleId="HeaderandFooter">
    <w:name w:val="Header and Footer"/>
    <w:basedOn w:val="Normal"/>
    <w:qFormat/>
    <w:pPr/>
    <w:rPr/>
  </w:style>
  <w:style w:type="paragraph" w:styleId="Header">
    <w:name w:val="header"/>
    <w:basedOn w:val="Normal"/>
    <w:link w:val="HeaderChar"/>
    <w:unhideWhenUsed/>
    <w:rsid w:val="00894b29"/>
    <w:pPr>
      <w:tabs>
        <w:tab w:val="clear" w:pos="720"/>
        <w:tab w:val="center" w:pos="4513" w:leader="none"/>
        <w:tab w:val="right" w:pos="9026" w:leader="none"/>
      </w:tabs>
    </w:pPr>
    <w:rPr/>
  </w:style>
  <w:style w:type="paragraph" w:styleId="Footer">
    <w:name w:val="footer"/>
    <w:basedOn w:val="Normal"/>
    <w:link w:val="FooterChar"/>
    <w:unhideWhenUsed/>
    <w:rsid w:val="00894b29"/>
    <w:pPr>
      <w:tabs>
        <w:tab w:val="clear" w:pos="720"/>
        <w:tab w:val="center" w:pos="4513" w:leader="none"/>
        <w:tab w:val="right" w:pos="9026" w:leader="none"/>
      </w:tabs>
    </w:pPr>
    <w:rPr/>
  </w:style>
  <w:style w:type="paragraph" w:styleId="FirstParagraph" w:customStyle="1">
    <w:name w:val="First Paragraph"/>
    <w:basedOn w:val="BodyText"/>
    <w:next w:val="BodyText"/>
    <w:qFormat/>
    <w:rsid w:val="00894b29"/>
    <w:pPr>
      <w:spacing w:before="180" w:after="180"/>
    </w:pPr>
    <w:rPr>
      <w:rFonts w:ascii="Aptos" w:hAnsi="Aptos" w:eastAsia="Aptos" w:cs="" w:asciiTheme="minorHAnsi" w:cstheme="minorBidi" w:eastAsiaTheme="minorHAnsi" w:hAnsiTheme="minorHAnsi"/>
      <w:sz w:val="24"/>
      <w:szCs w:val="24"/>
      <w:lang w:val="en-US" w:eastAsia="en-US"/>
    </w:rPr>
  </w:style>
  <w:style w:type="paragraph" w:styleId="SourceCode" w:customStyle="1">
    <w:name w:val="Source Code"/>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audit-readiness/recycling-initiatives.md" TargetMode="External"/><Relationship Id="rId3" Type="http://schemas.openxmlformats.org/officeDocument/2006/relationships/hyperlink" Target="../communications/toolbox-talks.md"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LibreOffice/26.2.2.2$MacOSX_AARCH64 LibreOffice_project/1f77d10d6938fd34972958f64b2bcfa54f8b1ba5</Application>
  <AppVersion>15.0000</AppVersion>
  <Pages>4</Pages>
  <Words>1172</Words>
  <Characters>6487</Characters>
  <CharactersWithSpaces>7544</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2026-06-01T12:43:56Z</dcterms:created>
  <dc:creator/>
  <dc:description/>
  <dc:language>en-GB</dc:language>
  <cp:lastModifiedBy/>
  <dcterms:modified xsi:type="dcterms:W3CDTF">2026-06-01T13:55:09Z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