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before="240" w:after="120"/>
        <w:jc w:val="left"/>
        <w:rPr/>
      </w:pPr>
      <w:r>
        <w:rPr/>
        <w:t>FATIGUE MANAGEMENT POLICY</w:t>
      </w:r>
    </w:p>
    <w:p>
      <w:pPr>
        <w:pStyle w:val="Heading2"/>
        <w:rPr/>
      </w:pPr>
      <w:bookmarkStart w:id="0" w:name="purpose"/>
      <w:r>
        <w:rPr/>
        <w:t>Purpose</w:t>
      </w:r>
      <w:bookmarkEnd w:id="0"/>
    </w:p>
    <w:p>
      <w:pPr>
        <w:pStyle w:val="FirstParagraph"/>
        <w:rPr/>
      </w:pPr>
      <w:r>
        <w:rPr/>
        <w:t>A M Water Services Ltd recognises that worker fatigue is a real operational risk in a water-services contracting business — long days, driving to and from sites, emergency call-outs, lone working and overnight stays all build cumulative tiredness that, if unmanaged, increases the chance of road traffic accidents, hand-arm vibration injuries, near-misses and slipped decision-making on site. This policy sets out our practical commitment to managing that risk, scaled to AMWS as a ~20-person team.</w:t>
      </w:r>
    </w:p>
    <w:p>
      <w:pPr>
        <w:pStyle w:val="Heading2"/>
        <w:rPr/>
      </w:pPr>
      <w:bookmarkStart w:id="1" w:name="scope"/>
      <w:r>
        <w:rPr/>
        <w:t>Scope</w:t>
      </w:r>
      <w:bookmarkEnd w:id="1"/>
    </w:p>
    <w:p>
      <w:pPr>
        <w:pStyle w:val="FirstParagraph"/>
        <w:rPr/>
      </w:pPr>
      <w:r>
        <w:rPr/>
        <w:t>This policy applies to all employees, directors, labour-supply subcontractors and visitors involved in AMWS operations — water-main installations, self-lay schemes, grab and aggregate haulage, emergency call-out work, lone-working tasks, plant operation and office-based driving for work.</w:t>
      </w:r>
    </w:p>
    <w:p>
      <w:pPr>
        <w:pStyle w:val="Heading2"/>
        <w:rPr/>
      </w:pPr>
      <w:bookmarkStart w:id="2" w:name="legal-requirements"/>
      <w:r>
        <w:rPr/>
        <w:t>Legal Requirements</w:t>
      </w:r>
      <w:bookmarkEnd w:id="2"/>
    </w:p>
    <w:p>
      <w:pPr>
        <w:pStyle w:val="FirstParagraph"/>
        <w:rPr/>
      </w:pPr>
      <w:r>
        <w:rPr/>
        <w:t xml:space="preserve">This policy supports our duties under the </w:t>
      </w:r>
      <w:r>
        <w:rPr>
          <w:b/>
        </w:rPr>
        <w:t>Health and Safety at Work Act 1974</w:t>
      </w:r>
      <w:r>
        <w:rPr/>
        <w:t xml:space="preserve"> (sections 2 and 3), the </w:t>
      </w:r>
      <w:r>
        <w:rPr>
          <w:b/>
        </w:rPr>
        <w:t>Management of Health and Safety at Work Regulations 1999</w:t>
      </w:r>
      <w:r>
        <w:rPr/>
        <w:t xml:space="preserve"> (regulation 3 — risk assessment), the </w:t>
      </w:r>
      <w:r>
        <w:rPr>
          <w:b/>
        </w:rPr>
        <w:t>Working Time Regulations 1998</w:t>
      </w:r>
      <w:r>
        <w:rPr/>
        <w:t xml:space="preserve"> (rest breaks and weekly working-time limits), the </w:t>
      </w:r>
      <w:r>
        <w:rPr>
          <w:b/>
        </w:rPr>
        <w:t>Road Traffic Act 1988</w:t>
      </w:r>
      <w:r>
        <w:rPr/>
        <w:t xml:space="preserve"> (driver responsibility) and the </w:t>
      </w:r>
      <w:r>
        <w:rPr>
          <w:b/>
        </w:rPr>
        <w:t>Worker Protection Act 2023</w:t>
      </w:r>
      <w:r>
        <w:rPr/>
        <w:t>.</w:t>
      </w:r>
    </w:p>
    <w:p>
      <w:pPr>
        <w:pStyle w:val="Heading2"/>
        <w:rPr/>
      </w:pPr>
      <w:bookmarkStart w:id="3" w:name="policy-statement"/>
      <w:r>
        <w:rPr/>
        <w:t>Policy Statement</w:t>
      </w:r>
      <w:bookmarkEnd w:id="3"/>
    </w:p>
    <w:p>
      <w:pPr>
        <w:pStyle w:val="FirstParagraph"/>
        <w:rPr/>
      </w:pPr>
      <w:r>
        <w:rPr/>
        <w:t>A M Water Services Ltd commits to:</w:t>
      </w:r>
    </w:p>
    <w:p>
      <w:pPr>
        <w:pStyle w:val="Normal"/>
        <w:numPr>
          <w:ilvl w:val="0"/>
          <w:numId w:val="1"/>
        </w:numPr>
        <w:rPr/>
      </w:pPr>
      <w:r>
        <w:rPr>
          <w:b/>
        </w:rPr>
        <w:t>Treating fatigue as an operational risk</w:t>
      </w:r>
      <w:r>
        <w:rPr/>
        <w:t xml:space="preserve"> — assessed at </w:t>
      </w:r>
      <w:hyperlink r:id="rId2">
        <w:r>
          <w:rPr>
            <w:rStyle w:val="Hyperlink"/>
          </w:rPr>
          <w:t>RA_HO_18 Fatigue Management</w:t>
        </w:r>
      </w:hyperlink>
      <w:r>
        <w:rPr/>
        <w:t xml:space="preserve"> and reviewed alongside the other home-office and field risk assessments.</w:t>
      </w:r>
    </w:p>
    <w:p>
      <w:pPr>
        <w:pStyle w:val="Normal"/>
        <w:numPr>
          <w:ilvl w:val="0"/>
          <w:numId w:val="1"/>
        </w:numPr>
        <w:rPr/>
      </w:pPr>
      <w:r>
        <w:rPr>
          <w:b/>
        </w:rPr>
        <w:t>Scheduling work to avoid foreseeable fatigue</w:t>
      </w:r>
      <w:r>
        <w:rPr/>
        <w:t xml:space="preserve"> — drivers’ hours reviewed weekly; on-call rotation capped at a maximum of </w:t>
      </w:r>
      <w:r>
        <w:rPr>
          <w:b/>
        </w:rPr>
        <w:t>1-in-4</w:t>
      </w:r>
      <w:r>
        <w:rPr/>
        <w:t xml:space="preserve">; emergency call-outs over 10 hours or starting before 06:00 trigger a </w:t>
      </w:r>
      <w:r>
        <w:rPr>
          <w:b/>
        </w:rPr>
        <w:t>buddy check-in</w:t>
      </w:r>
      <w:r>
        <w:rPr/>
        <w:t xml:space="preserve"> under </w:t>
      </w:r>
      <w:hyperlink r:id="rId3">
        <w:r>
          <w:rPr>
            <w:rStyle w:val="Hyperlink"/>
          </w:rPr>
          <w:t>SOP 8.8 Lone Working</w:t>
        </w:r>
      </w:hyperlink>
      <w:r>
        <w:rPr/>
        <w:t>.</w:t>
      </w:r>
    </w:p>
    <w:p>
      <w:pPr>
        <w:pStyle w:val="Normal"/>
        <w:numPr>
          <w:ilvl w:val="0"/>
          <w:numId w:val="1"/>
        </w:numPr>
        <w:rPr/>
      </w:pPr>
      <w:r>
        <w:rPr>
          <w:b/>
        </w:rPr>
        <w:t>Controlling vibration exposure alongside fatigue</w:t>
      </w:r>
      <w:r>
        <w:rPr/>
        <w:t xml:space="preserve"> — HAVS trigger-time caps applied per </w:t>
      </w:r>
      <w:hyperlink r:id="rId4">
        <w:r>
          <w:rPr>
            <w:rStyle w:val="Hyperlink"/>
          </w:rPr>
          <w:t>SOP 8.10 HAVS</w:t>
        </w:r>
      </w:hyperlink>
      <w:r>
        <w:rPr/>
        <w:t>; fatigue and HAVS interact and are managed together.</w:t>
      </w:r>
    </w:p>
    <w:p>
      <w:pPr>
        <w:pStyle w:val="Normal"/>
        <w:numPr>
          <w:ilvl w:val="0"/>
          <w:numId w:val="1"/>
        </w:numPr>
        <w:rPr/>
      </w:pPr>
      <w:r>
        <w:rPr>
          <w:b/>
        </w:rPr>
        <w:t>Driving safely</w:t>
      </w:r>
      <w:r>
        <w:rPr/>
        <w:t xml:space="preserve"> — fleet telematics, driver journey planning and DVSA Earned Recognition monitoring per </w:t>
      </w:r>
      <w:hyperlink r:id="rId5">
        <w:r>
          <w:rPr>
            <w:rStyle w:val="Hyperlink"/>
          </w:rPr>
          <w:t>SOP 8.13 Driving for Work</w:t>
        </w:r>
      </w:hyperlink>
      <w:r>
        <w:rPr/>
        <w:t>; no operative drives at the end of a shift if visibly fatigued — the Site Supervisor or a Director arranges alternative transport.</w:t>
      </w:r>
    </w:p>
    <w:p>
      <w:pPr>
        <w:pStyle w:val="Normal"/>
        <w:numPr>
          <w:ilvl w:val="0"/>
          <w:numId w:val="1"/>
        </w:numPr>
        <w:rPr/>
      </w:pPr>
      <w:r>
        <w:rPr>
          <w:b/>
        </w:rPr>
        <w:t>Acting on what operatives tell us</w:t>
      </w:r>
      <w:r>
        <w:rPr/>
        <w:t xml:space="preserve"> — any worker raising a fatigue concern (their own or a colleague’s) is heard at the next toolbox talk or weekly Director / HSQE compliance call. Fatigue is a legitimate reason to stop work or refuse a task.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rPr/>
      </w:pPr>
      <w:bookmarkStart w:id="4" w:name="fatigue-controls-at-amws"/>
      <w:r>
        <w:rPr/>
        <w:t>Fatigue controls at AMWS</w:t>
      </w:r>
      <w:bookmarkEnd w:id="4"/>
    </w:p>
    <w:tbl>
      <w:tblPr>
        <w:tblW w:w="9026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/>
      </w:tblPr>
      <w:tblGrid>
        <w:gridCol w:w="3008"/>
        <w:gridCol w:w="3009"/>
        <w:gridCol w:w="3009"/>
      </w:tblGrid>
      <w:tr>
        <w:trPr>
          <w:cnfStyle w:firstRow="1"/>
        </w:trPr>
        <w:tc>
          <w:tcPr>
            <w:tcW w:w="3008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Trigger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Control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Reference</w:t>
            </w:r>
          </w:p>
        </w:tc>
      </w:tr>
      <w:tr>
        <w:trPr/>
        <w:tc>
          <w:tcPr>
            <w:tcW w:w="30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Long driving day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Drivers’ hours reviewed weekly; telematics-based monitoring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6">
              <w:r>
                <w:rPr>
                  <w:rStyle w:val="Hyperlink"/>
                </w:rPr>
                <w:t>SOP 8.13 Driving for Work</w:t>
              </w:r>
            </w:hyperlink>
          </w:p>
        </w:tc>
      </w:tr>
      <w:tr>
        <w:trPr/>
        <w:tc>
          <w:tcPr>
            <w:tcW w:w="30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Emergency call-out &gt; 10 hours or pre-06:00 start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Buddy check-in mandatory; permit issuer confirms fitness at shift start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7">
              <w:r>
                <w:rPr>
                  <w:rStyle w:val="Hyperlink"/>
                </w:rPr>
                <w:t>SOP 8.8 Lone Working</w:t>
              </w:r>
            </w:hyperlink>
          </w:p>
        </w:tc>
      </w:tr>
      <w:tr>
        <w:trPr/>
        <w:tc>
          <w:tcPr>
            <w:tcW w:w="30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High-vibration tool use (breakers, vacuum excavators)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HAVS trigger-time caps; rotation between operatives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8">
              <w:r>
                <w:rPr>
                  <w:rStyle w:val="Hyperlink"/>
                </w:rPr>
                <w:t>SOP 8.10 HAVS</w:t>
              </w:r>
            </w:hyperlink>
          </w:p>
        </w:tc>
      </w:tr>
      <w:tr>
        <w:trPr/>
        <w:tc>
          <w:tcPr>
            <w:tcW w:w="30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Cumulative on-call exposure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On-call rotation maximum 1-in-4 weeks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9">
              <w:r>
                <w:rPr>
                  <w:rStyle w:val="Hyperlink"/>
                </w:rPr>
                <w:t>RA_HO_18 §Controls</w:t>
              </w:r>
            </w:hyperlink>
          </w:p>
        </w:tc>
      </w:tr>
      <w:tr>
        <w:trPr/>
        <w:tc>
          <w:tcPr>
            <w:tcW w:w="30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Fatigue-related near-miss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 xml:space="preserve">Logged under </w:t>
            </w:r>
            <w:hyperlink r:id="rId10">
              <w:r>
                <w:rPr>
                  <w:rStyle w:val="Hyperlink"/>
                </w:rPr>
                <w:t>SOP 8.1 Incident Reporting</w:t>
              </w:r>
            </w:hyperlink>
            <w:r>
              <w:rPr/>
              <w:t>; reviewed at next weekly compliance call</w:t>
            </w:r>
          </w:p>
        </w:tc>
        <w:tc>
          <w:tcPr>
            <w:tcW w:w="30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11">
              <w:r>
                <w:rPr>
                  <w:rStyle w:val="Hyperlink"/>
                </w:rPr>
                <w:t>APP_21 NC Register</w:t>
              </w:r>
            </w:hyperlink>
          </w:p>
        </w:tc>
      </w:tr>
    </w:tbl>
    <w:p>
      <w:pPr>
        <w:pStyle w:val="Heading2"/>
        <w:rPr/>
      </w:pPr>
      <w:bookmarkStart w:id="5" w:name="responsibilities"/>
      <w:r>
        <w:rPr/>
        <w:t>Responsibilities</w:t>
      </w:r>
      <w:bookmarkEnd w:id="5"/>
    </w:p>
    <w:tbl>
      <w:tblPr>
        <w:tblW w:w="9026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/>
      </w:tblPr>
      <w:tblGrid>
        <w:gridCol w:w="4513"/>
        <w:gridCol w:w="4513"/>
      </w:tblGrid>
      <w:tr>
        <w:trPr>
          <w:cnfStyle w:firstRow="1"/>
        </w:trPr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Role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Responsibility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>
                <w:b/>
              </w:rPr>
              <w:t>Aaron Mason</w:t>
            </w:r>
            <w:r>
              <w:rPr/>
              <w:t xml:space="preserve"> (Managing Director)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Final accountability for fatigue-management commitments; approves on-call rotation; reviews fatigue-related incidents at the weekly call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>
                <w:b/>
              </w:rPr>
              <w:t>Jason May</w:t>
            </w:r>
            <w:r>
              <w:rPr/>
              <w:t xml:space="preserve"> (Site Supervisor)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Monitors operative wellbeing during morning brief; arranges alternative transport for visibly fatigued operatives; raises any concerns same-day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>
                <w:b/>
              </w:rPr>
              <w:t>Leanne Mason</w:t>
            </w:r>
            <w:r>
              <w:rPr/>
              <w:t xml:space="preserve"> (Director, HR/Admin)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Maintains drivers’ hours records; tracks on-call rotation; ensures Working Time Regulations opt-outs are current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>
                <w:b/>
              </w:rPr>
              <w:t>Sean Ashton</w:t>
            </w:r>
            <w:r>
              <w:rPr/>
              <w:t xml:space="preserve"> (HSQE Consultant, Onyx Operations)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Annual review of RA_HO_18 and this policy; benchmarks against incident trends and ISO 45001 clause 8.1.2 expectations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>
                <w:b/>
              </w:rPr>
              <w:t>All workers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Raise fatigue concerns early; never drive at the end of a shift if visibly tired; use the buddy check-in for long/early shifts</w:t>
            </w:r>
          </w:p>
        </w:tc>
      </w:tr>
    </w:tbl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bookmarkStart w:id="6" w:name="connection-to-other-amws-controls"/>
      <w:r>
        <w:rPr/>
        <w:t>Connection to other AMWS controls</w:t>
      </w:r>
      <w:bookmarkEnd w:id="6"/>
    </w:p>
    <w:tbl>
      <w:tblPr>
        <w:tblW w:w="9026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/>
      </w:tblPr>
      <w:tblGrid>
        <w:gridCol w:w="4513"/>
        <w:gridCol w:w="4513"/>
      </w:tblGrid>
      <w:tr>
        <w:trPr>
          <w:cnfStyle w:firstRow="1"/>
        </w:trPr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Linked control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Purpose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12">
              <w:r>
                <w:rPr>
                  <w:rStyle w:val="Hyperlink"/>
                </w:rPr>
                <w:t>RA_HO_18 — Fatigue Management</w:t>
              </w:r>
            </w:hyperlink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The full risk assessment behind this policy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13">
              <w:r>
                <w:rPr>
                  <w:rStyle w:val="Hyperlink"/>
                </w:rPr>
                <w:t>POL_HSQE_29 — Mental Health</w:t>
              </w:r>
            </w:hyperlink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Fatigue is a mental-health risk factor; MHFA cover available via Jason May + Leanne Mason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14">
              <w:r>
                <w:rPr>
                  <w:rStyle w:val="Hyperlink"/>
                </w:rPr>
                <w:t>POL_HSQE_26 — Welfare</w:t>
              </w:r>
            </w:hyperlink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Physical welfare provisions support fatigue management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15">
              <w:r>
                <w:rPr>
                  <w:rStyle w:val="Hyperlink"/>
                </w:rPr>
                <w:t>POL_HSQE_25 — Use of Company Vehicles</w:t>
              </w:r>
            </w:hyperlink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Driver fatigue is the highest-impact fatigue pathway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16">
              <w:r>
                <w:rPr>
                  <w:rStyle w:val="Hyperlink"/>
                </w:rPr>
                <w:t>SOP 8.8 Lone Working</w:t>
              </w:r>
            </w:hyperlink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Buddy check-in for long / early shifts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17">
              <w:r>
                <w:rPr>
                  <w:rStyle w:val="Hyperlink"/>
                </w:rPr>
                <w:t>SOP 8.10 HAVS</w:t>
              </w:r>
            </w:hyperlink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HAVS-fatigue interaction; trigger-time caps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18">
              <w:r>
                <w:rPr>
                  <w:rStyle w:val="Hyperlink"/>
                </w:rPr>
                <w:t>SOP 8.13 Driving for Work</w:t>
              </w:r>
            </w:hyperlink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Drivers’ hours, telematics, journey planning</w:t>
            </w:r>
          </w:p>
        </w:tc>
      </w:tr>
      <w:tr>
        <w:trPr/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19">
              <w:r>
                <w:rPr>
                  <w:rStyle w:val="Hyperlink"/>
                </w:rPr>
                <w:t>APP_07 Hazard Register HO-18</w:t>
              </w:r>
            </w:hyperlink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Hazard-register entry with initial / residual scores and owners</w:t>
            </w:r>
          </w:p>
        </w:tc>
      </w:tr>
    </w:tbl>
    <w:p>
      <w:pPr>
        <w:pStyle w:val="Heading2"/>
        <w:rPr/>
      </w:pPr>
      <w:bookmarkStart w:id="7" w:name="whats-deliberately-not-in-this-policy"/>
      <w:r>
        <w:rPr/>
        <w:t>What’s deliberately NOT in this policy</w:t>
      </w:r>
      <w:bookmarkEnd w:id="7"/>
    </w:p>
    <w:p>
      <w:pPr>
        <w:pStyle w:val="FirstParagraph"/>
        <w:rPr/>
      </w:pPr>
      <w:r>
        <w:rPr/>
        <w:t>Scaled to AMWS’s actual risk:</w:t>
      </w:r>
    </w:p>
    <w:p>
      <w:pPr>
        <w:pStyle w:val="Normal"/>
        <w:numPr>
          <w:ilvl w:val="0"/>
          <w:numId w:val="1"/>
        </w:numPr>
        <w:rPr/>
      </w:pPr>
      <w:r>
        <w:rPr>
          <w:b/>
        </w:rPr>
        <w:t>No fatigue-monitoring wearables or biometric tracking</w:t>
      </w:r>
      <w:r>
        <w:rPr/>
        <w:t xml:space="preserve"> — disproportionate for a 20-person SME and not required by ISO 45001 at this scale.</w:t>
      </w:r>
    </w:p>
    <w:p>
      <w:pPr>
        <w:pStyle w:val="Normal"/>
        <w:numPr>
          <w:ilvl w:val="0"/>
          <w:numId w:val="1"/>
        </w:numPr>
        <w:rPr/>
      </w:pPr>
      <w:r>
        <w:rPr>
          <w:b/>
        </w:rPr>
        <w:t>No formal Fatigue Risk Management System (FRMS)</w:t>
      </w:r>
      <w:r>
        <w:rPr/>
        <w:t xml:space="preserve"> — the aviation / heavy-haulage FRMS model is not proportionate for AMWS’s operational mix. We operate the listed controls consistently and review them annually.</w:t>
      </w:r>
    </w:p>
    <w:p>
      <w:pPr>
        <w:pStyle w:val="FirstParagraph"/>
        <w:rPr/>
      </w:pPr>
      <w:r>
        <w:rPr/>
        <w:t>If AMWS’s risk profile changes (a contract requiring shift-pattern work, growth past ~50 operatives, or a series of fatigue-related incidents), this policy is reviewed and the controls scaled up to match.</w:t>
      </w:r>
    </w:p>
    <w:p>
      <w:pPr>
        <w:pStyle w:val="Heading2"/>
        <w:rPr/>
      </w:pPr>
      <w:bookmarkStart w:id="8" w:name="review"/>
      <w:r>
        <w:rPr/>
        <w:t>Review</w:t>
      </w:r>
      <w:bookmarkEnd w:id="8"/>
    </w:p>
    <w:p>
      <w:pPr>
        <w:pStyle w:val="FirstParagraph"/>
        <w:rPr/>
      </w:pPr>
      <w:r>
        <w:rPr/>
        <w:t>This policy is reviewed annually or sooner if:</w:t>
      </w:r>
    </w:p>
    <w:p>
      <w:pPr>
        <w:pStyle w:val="Normal"/>
        <w:numPr>
          <w:ilvl w:val="0"/>
          <w:numId w:val="1"/>
        </w:numPr>
        <w:rPr/>
      </w:pPr>
      <w:r>
        <w:rPr/>
        <w:t>A fatigue-related incident occurs at AMWS or in the supply chain</w:t>
      </w:r>
    </w:p>
    <w:p>
      <w:pPr>
        <w:pStyle w:val="Normal"/>
        <w:numPr>
          <w:ilvl w:val="0"/>
          <w:numId w:val="1"/>
        </w:numPr>
        <w:rPr/>
      </w:pPr>
      <w:r>
        <w:rPr/>
        <w:t>Working Time Regulations or driver-hour rules change materially</w:t>
      </w:r>
    </w:p>
    <w:p>
      <w:pPr>
        <w:pStyle w:val="Normal"/>
        <w:numPr>
          <w:ilvl w:val="0"/>
          <w:numId w:val="1"/>
        </w:numPr>
        <w:rPr/>
      </w:pPr>
      <w:r>
        <w:rPr/>
        <w:t>AMWS’s operational pattern changes (new on-call rotation, shift work, etc.)</w:t>
      </w:r>
    </w:p>
    <w:p>
      <w:pPr>
        <w:pStyle w:val="Normal"/>
        <w:numPr>
          <w:ilvl w:val="0"/>
          <w:numId w:val="1"/>
        </w:numPr>
        <w:rPr/>
      </w:pPr>
      <w:r>
        <w:rPr/>
        <w:t>The annual RA_HO_18 review identifies a new fatigue pathway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51.2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</w:p>
    <w:p>
      <w:pPr>
        <w:pStyle w:val="FirstParagraph"/>
        <w:rPr/>
      </w:pPr>
      <w:r>
        <w:rPr>
          <w:i/>
        </w:rPr>
        <w:t>This document forms part of A M Water Services Limited’s Integrated Management System. Paper copies are uncontrolled when printed.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51.2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rPr/>
      </w:pPr>
      <w:bookmarkStart w:id="9" w:name="audit-trail"/>
      <w:r>
        <w:rPr/>
        <w:t>Audit trail</w:t>
      </w:r>
      <w:bookmarkEnd w:id="9"/>
    </w:p>
    <w:tbl>
      <w:tblPr>
        <w:tblW w:w="9026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/>
      </w:tblPr>
      <w:tblGrid>
        <w:gridCol w:w="2256"/>
        <w:gridCol w:w="2257"/>
        <w:gridCol w:w="2256"/>
        <w:gridCol w:w="2257"/>
      </w:tblGrid>
      <w:tr>
        <w:trPr>
          <w:cnfStyle w:firstRow="1"/>
        </w:trPr>
        <w:tc>
          <w:tcPr>
            <w:tcW w:w="2256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Date</w:t>
            </w:r>
          </w:p>
        </w:tc>
        <w:tc>
          <w:tcPr>
            <w:tcW w:w="2257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Action</w:t>
            </w:r>
          </w:p>
        </w:tc>
        <w:tc>
          <w:tcPr>
            <w:tcW w:w="2256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By</w:t>
            </w:r>
          </w:p>
        </w:tc>
        <w:tc>
          <w:tcPr>
            <w:tcW w:w="2257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Details</w:t>
            </w:r>
          </w:p>
        </w:tc>
      </w:tr>
      <w:tr>
        <w:trPr/>
        <w:tc>
          <w:tcPr>
            <w:tcW w:w="22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01/06/2026</w:t>
            </w:r>
          </w:p>
        </w:tc>
        <w:tc>
          <w:tcPr>
            <w:tcW w:w="22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Issue 1 drafted</w:t>
            </w:r>
          </w:p>
        </w:tc>
        <w:tc>
          <w:tcPr>
            <w:tcW w:w="22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Sean Ashton, HSQE Consultant</w:t>
            </w:r>
          </w:p>
        </w:tc>
        <w:tc>
          <w:tcPr>
            <w:tcW w:w="225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 xml:space="preserve">New standalone Fatigue Management Policy. Builds on </w:t>
            </w:r>
            <w:hyperlink r:id="rId20">
              <w:r>
                <w:rPr>
                  <w:rStyle w:val="Hyperlink"/>
                </w:rPr>
                <w:t>RA_HO_18 Fatigue Management</w:t>
              </w:r>
            </w:hyperlink>
            <w:r>
              <w:rPr/>
              <w:t xml:space="preserve"> (04/05/2026) and consolidates the fatigue controls previously held across </w:t>
            </w:r>
            <w:hyperlink r:id="rId21">
              <w:r>
                <w:rPr>
                  <w:rStyle w:val="Hyperlink"/>
                </w:rPr>
                <w:t>SOP 8.13</w:t>
              </w:r>
            </w:hyperlink>
            <w:r>
              <w:rPr/>
              <w:t xml:space="preserve">, </w:t>
            </w:r>
            <w:hyperlink r:id="rId22">
              <w:r>
                <w:rPr>
                  <w:rStyle w:val="Hyperlink"/>
                </w:rPr>
                <w:t>SOP 8.10</w:t>
              </w:r>
            </w:hyperlink>
            <w:r>
              <w:rPr/>
              <w:t xml:space="preserve"> and </w:t>
            </w:r>
            <w:hyperlink r:id="rId23">
              <w:r>
                <w:rPr>
                  <w:rStyle w:val="Hyperlink"/>
                </w:rPr>
                <w:t>SOP 8.8</w:t>
              </w:r>
            </w:hyperlink>
            <w:r>
              <w:rPr/>
              <w:t xml:space="preserve"> under a single policy statement. Drafted in the run-up to the 3-4 June 2026 Achilles UVDB B2 surveillance audit to close the audit-visible gap of having fatigue addressed at RA + SOP level but not at policy level.</w:t>
            </w:r>
          </w:p>
        </w:tc>
      </w:tr>
    </w:tbl>
    <w:p>
      <w:pPr>
        <w:pStyle w:val="Heading3"/>
        <w:rPr/>
      </w:pPr>
      <w:bookmarkStart w:id="10" w:name="how-this-document-is-approved"/>
      <w:r>
        <w:rPr/>
        <w:t>How this document is approved</w:t>
      </w:r>
      <w:bookmarkEnd w:id="10"/>
    </w:p>
    <w:p>
      <w:pPr>
        <w:pStyle w:val="FirstParagraph"/>
        <w:spacing w:before="180" w:after="180"/>
        <w:rPr/>
      </w:pPr>
      <w:r>
        <w:rPr/>
        <w:t xml:space="preserve">This document is maintained under AMWS’s continuous-compliance model. Substantive revisions are reviewed and signed off by the Directors at the </w:t>
      </w:r>
      <w:r>
        <w:rPr>
          <w:b/>
        </w:rPr>
        <w:t>standing weekly Director / HSQE compliance call</w:t>
      </w:r>
      <w:r>
        <w:rPr/>
        <w:t xml:space="preserve"> (Sean Ashton, Onyx + Leanne Mason). Currency, cross-references and minor edits are checked at the </w:t>
      </w:r>
      <w:r>
        <w:rPr>
          <w:b/>
        </w:rPr>
        <w:t>monthly Onyx site visit</w:t>
      </w:r>
      <w:r>
        <w:rPr/>
        <w:t xml:space="preserve">. The annual Management Review (September) provides the strategic-level confirmation. Compliance is therefore </w:t>
      </w:r>
      <w:r>
        <w:rPr>
          <w:b/>
        </w:rPr>
        <w:t>continuous, not gated on a single annual meeting</w:t>
      </w:r>
      <w:r>
        <w:rPr/>
        <w:t>.</w:t>
      </w:r>
    </w:p>
    <w:sectPr>
      <w:headerReference w:type="even" r:id="rId24"/>
      <w:headerReference w:type="default" r:id="rId25"/>
      <w:headerReference w:type="first" r:id="rId26"/>
      <w:footerReference w:type="even" r:id="rId27"/>
      <w:footerReference w:type="default" r:id="rId28"/>
      <w:footerReference w:type="first" r:id="rId29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ptos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spacing w:before="180" w:after="180"/>
      <w:ind w:right="360"/>
      <w:rPr/>
    </w:pPr>
    <w:r>
      <w:rPr/>
      <w:t>Document Reference: POL_HSQE_31 | Issue Number: 1 | Issue Date: 1 June 2026</w:t>
    </w:r>
    <w:r>
      <mc:AlternateContent>
        <mc:Choice Requires="wps">
          <w:drawing>
            <wp:anchor distT="0" distB="0" distL="0" distR="0" simplePos="0" relativeHeight="11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49250" cy="160655"/>
              <wp:effectExtent l="0" t="0" r="0" b="0"/>
              <wp:wrapNone/>
              <wp:docPr id="7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-157921668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4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  <w:r>
                                <w:rPr>
                                  <w:rStyle w:val="PageNumber"/>
                                </w:rPr>
                                <w:t xml:space="preserve"> </w:t>
                              </w:r>
                              <w:r>
                                <w:rPr>
                                  <w:rStyle w:val="PageNumber"/>
                                </w:rPr>
                                <w:t xml:space="preserve">of 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4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7.5pt;height:12.65pt;mso-wrap-distance-left:0pt;mso-wrap-distance-right:0pt;mso-wrap-distance-top:0pt;mso-wrap-distance-bottom:0pt;margin-top:0.05pt;mso-position-vertical-relative:text;margin-left:423.8pt;mso-position-horizontal:right;mso-position-horizontal-relative:margin">
              <v:fill opacity="0f"/>
              <v:textbox inset="0in,0in,0in,0in">
                <w:txbxContent>
                  <w:sdt>
                    <w:sdtPr>
                      <w:id w:val="-157921668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4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  <w:r>
                          <w:rPr>
                            <w:rStyle w:val="PageNumber"/>
                          </w:rPr>
                          <w:t xml:space="preserve"> </w:t>
                        </w:r>
                        <w:r>
                          <w:rPr>
                            <w:rStyle w:val="PageNumber"/>
                          </w:rPr>
                          <w:t xml:space="preserve">of </w:t>
                        </w: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NUMPAGES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4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  <w:p>
    <w:pPr>
      <w:pStyle w:val="Normal"/>
      <w:rPr/>
    </w:pPr>
    <w:r>
      <w:rPr/>
      <w:t>Next Review: 1 June 2027 | Uncontrolled when printed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spacing w:before="180" w:after="180"/>
      <w:ind w:right="360"/>
      <w:rPr/>
    </w:pPr>
    <w:r>
      <w:rPr/>
      <w:t>Document Reference: POL_HSQE_31 | Issue Number: 1 | Issue Date: 1 June 2026</w:t>
    </w:r>
    <w:r>
      <mc:AlternateContent>
        <mc:Choice Requires="wps">
          <w:drawing>
            <wp:anchor distT="0" distB="0" distL="0" distR="0" simplePos="0" relativeHeight="11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49250" cy="160655"/>
              <wp:effectExtent l="0" t="0" r="0" b="0"/>
              <wp:wrapNone/>
              <wp:docPr id="8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-157921668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4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  <w:r>
                                <w:rPr>
                                  <w:rStyle w:val="PageNumber"/>
                                </w:rPr>
                                <w:t xml:space="preserve"> </w:t>
                              </w:r>
                              <w:r>
                                <w:rPr>
                                  <w:rStyle w:val="PageNumber"/>
                                </w:rPr>
                                <w:t xml:space="preserve">of 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4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7.5pt;height:12.65pt;mso-wrap-distance-left:0pt;mso-wrap-distance-right:0pt;mso-wrap-distance-top:0pt;mso-wrap-distance-bottom:0pt;margin-top:0.05pt;mso-position-vertical-relative:text;margin-left:423.8pt;mso-position-horizontal:right;mso-position-horizontal-relative:margin">
              <v:fill opacity="0f"/>
              <v:textbox inset="0in,0in,0in,0in">
                <w:txbxContent>
                  <w:sdt>
                    <w:sdtPr>
                      <w:id w:val="-157921668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4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  <w:r>
                          <w:rPr>
                            <w:rStyle w:val="PageNumber"/>
                          </w:rPr>
                          <w:t xml:space="preserve"> </w:t>
                        </w:r>
                        <w:r>
                          <w:rPr>
                            <w:rStyle w:val="PageNumber"/>
                          </w:rPr>
                          <w:t xml:space="preserve">of </w:t>
                        </w: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NUMPAGES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4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  <w:p>
    <w:pPr>
      <w:pStyle w:val="Normal"/>
      <w:rPr/>
    </w:pPr>
    <w:r>
      <w:rPr/>
      <w:t>Next Review: 1 June 2027 | Uncontrolled when printed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drawing>
        <wp:inline distT="0" distB="0" distL="0" distR="0">
          <wp:extent cx="1437640" cy="547370"/>
          <wp:effectExtent l="0" t="0" r="0" b="0"/>
          <wp:docPr id="5" name="Picture 1" descr="A blue letter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blue letter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drawing>
        <wp:inline distT="0" distB="0" distL="0" distR="0">
          <wp:extent cx="1437640" cy="547370"/>
          <wp:effectExtent l="0" t="0" r="0" b="0"/>
          <wp:docPr id="6" name="Picture 1" descr="A blue letter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blue letter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uiPriority w:val="9"/>
    <w:qFormat/>
    <w:pPr>
      <w:widowControl/>
      <w:bidi w:val="0"/>
      <w:spacing w:before="240" w:after="120"/>
      <w:jc w:val="left"/>
      <w:outlineLvl w:val="0"/>
    </w:pPr>
    <w:rPr>
      <w:rFonts w:ascii="Arial" w:hAnsi="Arial" w:eastAsia="Arial" w:cs="Arial"/>
      <w:b/>
      <w:bCs/>
      <w:color w:val="2E74B5"/>
      <w:kern w:val="0"/>
      <w:sz w:val="36"/>
      <w:szCs w:val="36"/>
      <w:lang w:val="en-GB" w:eastAsia="en-GB" w:bidi="ar-SA"/>
    </w:rPr>
  </w:style>
  <w:style w:type="paragraph" w:styleId="Heading2">
    <w:name w:val="heading 2"/>
    <w:uiPriority w:val="9"/>
    <w:unhideWhenUsed/>
    <w:qFormat/>
    <w:pPr>
      <w:widowControl/>
      <w:bidi w:val="0"/>
      <w:spacing w:before="200" w:after="80"/>
      <w:jc w:val="left"/>
      <w:outlineLvl w:val="1"/>
    </w:pPr>
    <w:rPr>
      <w:rFonts w:ascii="Arial" w:hAnsi="Arial" w:eastAsia="Arial" w:cs="Arial"/>
      <w:b/>
      <w:bCs/>
      <w:color w:val="2E74B5"/>
      <w:kern w:val="0"/>
      <w:sz w:val="26"/>
      <w:szCs w:val="26"/>
      <w:lang w:val="en-GB" w:eastAsia="en-GB" w:bidi="ar-SA"/>
    </w:rPr>
  </w:style>
  <w:style w:type="paragraph" w:styleId="Heading3">
    <w:name w:val="heading 3"/>
    <w:uiPriority w:val="9"/>
    <w:semiHidden/>
    <w:unhideWhenUsed/>
    <w:qFormat/>
    <w:pPr>
      <w:widowControl/>
      <w:bidi w:val="0"/>
      <w:spacing w:before="0" w:after="0"/>
      <w:jc w:val="left"/>
      <w:outlineLvl w:val="2"/>
    </w:pPr>
    <w:rPr>
      <w:rFonts w:ascii="Arial" w:hAnsi="Arial" w:eastAsia="Arial" w:cs="Arial"/>
      <w:color w:val="1F4D78"/>
      <w:kern w:val="0"/>
      <w:sz w:val="24"/>
      <w:szCs w:val="24"/>
      <w:lang w:val="en-GB" w:eastAsia="en-GB" w:bidi="ar-SA"/>
    </w:rPr>
  </w:style>
  <w:style w:type="paragraph" w:styleId="Heading4">
    <w:name w:val="heading 4"/>
    <w:uiPriority w:val="9"/>
    <w:semiHidden/>
    <w:unhideWhenUsed/>
    <w:qFormat/>
    <w:pPr>
      <w:widowControl/>
      <w:bidi w:val="0"/>
      <w:spacing w:before="0" w:after="0"/>
      <w:jc w:val="left"/>
      <w:outlineLvl w:val="3"/>
    </w:pPr>
    <w:rPr>
      <w:rFonts w:ascii="Arial" w:hAnsi="Arial" w:eastAsia="Arial" w:cs="Arial"/>
      <w:i/>
      <w:iCs/>
      <w:color w:val="2E74B5"/>
      <w:kern w:val="0"/>
      <w:sz w:val="22"/>
      <w:szCs w:val="22"/>
      <w:lang w:val="en-GB" w:eastAsia="en-GB" w:bidi="ar-SA"/>
    </w:rPr>
  </w:style>
  <w:style w:type="paragraph" w:styleId="Heading5">
    <w:name w:val="heading 5"/>
    <w:uiPriority w:val="9"/>
    <w:semiHidden/>
    <w:unhideWhenUsed/>
    <w:qFormat/>
    <w:pPr>
      <w:widowControl/>
      <w:bidi w:val="0"/>
      <w:spacing w:before="0" w:after="0"/>
      <w:jc w:val="left"/>
      <w:outlineLvl w:val="4"/>
    </w:pPr>
    <w:rPr>
      <w:rFonts w:ascii="Arial" w:hAnsi="Arial" w:eastAsia="Arial" w:cs="Arial"/>
      <w:color w:val="2E74B5"/>
      <w:kern w:val="0"/>
      <w:sz w:val="22"/>
      <w:szCs w:val="22"/>
      <w:lang w:val="en-GB" w:eastAsia="en-GB" w:bidi="ar-SA"/>
    </w:rPr>
  </w:style>
  <w:style w:type="paragraph" w:styleId="Heading6">
    <w:name w:val="heading 6"/>
    <w:uiPriority w:val="9"/>
    <w:semiHidden/>
    <w:unhideWhenUsed/>
    <w:qFormat/>
    <w:pPr>
      <w:widowControl/>
      <w:bidi w:val="0"/>
      <w:spacing w:before="0" w:after="0"/>
      <w:jc w:val="left"/>
      <w:outlineLvl w:val="5"/>
    </w:pPr>
    <w:rPr>
      <w:rFonts w:ascii="Arial" w:hAnsi="Arial" w:eastAsia="Arial" w:cs="Arial"/>
      <w:color w:val="1F4D78"/>
      <w:kern w:val="0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 w:customStyle="1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qFormat/>
    <w:rsid w:val="00894b29"/>
    <w:rPr/>
  </w:style>
  <w:style w:type="character" w:styleId="FooterChar" w:customStyle="1">
    <w:name w:val="Footer Char"/>
    <w:basedOn w:val="DefaultParagraphFont"/>
    <w:link w:val="Footer"/>
    <w:qFormat/>
    <w:rsid w:val="00894b29"/>
    <w:rPr/>
  </w:style>
  <w:style w:type="character" w:styleId="PageNumber">
    <w:name w:val="page number"/>
    <w:basedOn w:val="DefaultParagraphFont"/>
    <w:rsid w:val="00894b29"/>
    <w:rPr/>
  </w:style>
  <w:style w:type="character" w:styleId="BodyTextChar" w:customStyle="1">
    <w:name w:val="Body Text Char"/>
    <w:basedOn w:val="DefaultParagraphFont"/>
    <w:uiPriority w:val="99"/>
    <w:semiHidden/>
    <w:qFormat/>
    <w:rsid w:val="00894b29"/>
    <w:rPr/>
  </w:style>
  <w:style w:type="character" w:styleId="KeywordTok" w:customStyle="1">
    <w:name w:val="KeywordTok"/>
    <w:qFormat/>
    <w:rPr>
      <w:b/>
      <w:color w:val="007020"/>
    </w:rPr>
  </w:style>
  <w:style w:type="character" w:styleId="DataTypeTok" w:customStyle="1">
    <w:name w:val="DataTypeTok"/>
    <w:qFormat/>
    <w:rPr>
      <w:color w:val="902000"/>
    </w:rPr>
  </w:style>
  <w:style w:type="character" w:styleId="DecValTok" w:customStyle="1">
    <w:name w:val="DecValTok"/>
    <w:qFormat/>
    <w:rPr>
      <w:color w:val="40A070"/>
    </w:rPr>
  </w:style>
  <w:style w:type="character" w:styleId="BaseNTok" w:customStyle="1">
    <w:name w:val="BaseNTok"/>
    <w:qFormat/>
    <w:rPr>
      <w:color w:val="40A070"/>
    </w:rPr>
  </w:style>
  <w:style w:type="character" w:styleId="FloatTok" w:customStyle="1">
    <w:name w:val="FloatTok"/>
    <w:qFormat/>
    <w:rPr>
      <w:color w:val="40A070"/>
    </w:rPr>
  </w:style>
  <w:style w:type="character" w:styleId="ConstantTok" w:customStyle="1">
    <w:name w:val="ConstantTok"/>
    <w:qFormat/>
    <w:rPr>
      <w:color w:val="880000"/>
    </w:rPr>
  </w:style>
  <w:style w:type="character" w:styleId="CharTok" w:customStyle="1">
    <w:name w:val="CharTok"/>
    <w:qFormat/>
    <w:rPr>
      <w:color w:val="4070A0"/>
    </w:rPr>
  </w:style>
  <w:style w:type="character" w:styleId="SpecialCharTok" w:customStyle="1">
    <w:name w:val="SpecialCharTok"/>
    <w:qFormat/>
    <w:rPr>
      <w:color w:val="4070A0"/>
    </w:rPr>
  </w:style>
  <w:style w:type="character" w:styleId="StringTok" w:customStyle="1">
    <w:name w:val="StringTok"/>
    <w:qFormat/>
    <w:rPr>
      <w:color w:val="4070A0"/>
    </w:rPr>
  </w:style>
  <w:style w:type="character" w:styleId="VerbatimStringTok" w:customStyle="1">
    <w:name w:val="VerbatimStringTok"/>
    <w:qFormat/>
    <w:rPr>
      <w:color w:val="4070A0"/>
    </w:rPr>
  </w:style>
  <w:style w:type="character" w:styleId="SpecialStringTok" w:customStyle="1">
    <w:name w:val="SpecialStringTok"/>
    <w:qFormat/>
    <w:rPr>
      <w:color w:val="BB6688"/>
    </w:rPr>
  </w:style>
  <w:style w:type="character" w:styleId="ImportTok" w:customStyle="1">
    <w:name w:val="ImportTok"/>
    <w:qFormat/>
    <w:rPr/>
  </w:style>
  <w:style w:type="character" w:styleId="CommentTok" w:customStyle="1">
    <w:name w:val="CommentTok"/>
    <w:qFormat/>
    <w:rPr>
      <w:i/>
      <w:color w:val="60A0B0"/>
    </w:rPr>
  </w:style>
  <w:style w:type="character" w:styleId="DocumentationTok" w:customStyle="1">
    <w:name w:val="DocumentationTok"/>
    <w:qFormat/>
    <w:rPr>
      <w:i/>
      <w:color w:val="BA2121"/>
    </w:rPr>
  </w:style>
  <w:style w:type="character" w:styleId="AnnotationTok" w:customStyle="1">
    <w:name w:val="AnnotationTok"/>
    <w:qFormat/>
    <w:rPr>
      <w:b/>
      <w:i/>
      <w:color w:val="60A0B0"/>
    </w:rPr>
  </w:style>
  <w:style w:type="character" w:styleId="CommentVarTok" w:customStyle="1">
    <w:name w:val="CommentVarTok"/>
    <w:qFormat/>
    <w:rPr>
      <w:b/>
      <w:i/>
      <w:color w:val="60A0B0"/>
    </w:rPr>
  </w:style>
  <w:style w:type="character" w:styleId="OtherTok" w:customStyle="1">
    <w:name w:val="OtherTok"/>
    <w:qFormat/>
    <w:rPr>
      <w:color w:val="007020"/>
    </w:rPr>
  </w:style>
  <w:style w:type="character" w:styleId="FunctionTok" w:customStyle="1">
    <w:name w:val="FunctionTok"/>
    <w:qFormat/>
    <w:rPr>
      <w:color w:val="06287E"/>
    </w:rPr>
  </w:style>
  <w:style w:type="character" w:styleId="VariableTok" w:customStyle="1">
    <w:name w:val="VariableTok"/>
    <w:qFormat/>
    <w:rPr>
      <w:color w:val="19177C"/>
    </w:rPr>
  </w:style>
  <w:style w:type="character" w:styleId="ControlFlowTok" w:customStyle="1">
    <w:name w:val="ControlFlowTok"/>
    <w:qFormat/>
    <w:rPr>
      <w:b/>
      <w:color w:val="007020"/>
    </w:rPr>
  </w:style>
  <w:style w:type="character" w:styleId="OperatorTok" w:customStyle="1">
    <w:name w:val="OperatorTok"/>
    <w:qFormat/>
    <w:rPr>
      <w:color w:val="666666"/>
    </w:rPr>
  </w:style>
  <w:style w:type="character" w:styleId="BuiltInTok" w:customStyle="1">
    <w:name w:val="BuiltInTok"/>
    <w:qFormat/>
    <w:rPr/>
  </w:style>
  <w:style w:type="character" w:styleId="ExtensionTok" w:customStyle="1">
    <w:name w:val="ExtensionTok"/>
    <w:qFormat/>
    <w:rPr/>
  </w:style>
  <w:style w:type="character" w:styleId="PreprocessorTok" w:customStyle="1">
    <w:name w:val="PreprocessorTok"/>
    <w:qFormat/>
    <w:rPr>
      <w:color w:val="BC7A00"/>
    </w:rPr>
  </w:style>
  <w:style w:type="character" w:styleId="AttributeTok" w:customStyle="1">
    <w:name w:val="AttributeTok"/>
    <w:qFormat/>
    <w:rPr>
      <w:color w:val="7D9029"/>
    </w:rPr>
  </w:style>
  <w:style w:type="character" w:styleId="RegionMarkerTok" w:customStyle="1">
    <w:name w:val="RegionMarkerTok"/>
    <w:qFormat/>
    <w:rPr/>
  </w:style>
  <w:style w:type="character" w:styleId="InformationTok" w:customStyle="1">
    <w:name w:val="InformationTok"/>
    <w:qFormat/>
    <w:rPr>
      <w:b/>
      <w:i/>
      <w:color w:val="60A0B0"/>
    </w:rPr>
  </w:style>
  <w:style w:type="character" w:styleId="WarningTok" w:customStyle="1">
    <w:name w:val="WarningTok"/>
    <w:qFormat/>
    <w:rPr>
      <w:b/>
      <w:i/>
      <w:color w:val="60A0B0"/>
    </w:rPr>
  </w:style>
  <w:style w:type="character" w:styleId="AlertTok" w:customStyle="1">
    <w:name w:val="AlertTok"/>
    <w:qFormat/>
    <w:rPr>
      <w:b/>
      <w:color w:val="FF0000"/>
    </w:rPr>
  </w:style>
  <w:style w:type="character" w:styleId="ErrorTok" w:customStyle="1">
    <w:name w:val="ErrorTok"/>
    <w:qFormat/>
    <w:rPr>
      <w:b/>
      <w:color w:val="FF0000"/>
    </w:rPr>
  </w:style>
  <w:style w:type="character" w:styleId="NormalTok" w:customStyle="1">
    <w:name w:val="NormalTo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894b29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uiPriority w:val="10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56"/>
      <w:szCs w:val="56"/>
      <w:lang w:val="en-GB" w:eastAsia="en-GB" w:bidi="ar-SA"/>
    </w:rPr>
  </w:style>
  <w:style w:type="paragraph" w:styleId="Strong1" w:customStyle="1">
    <w:name w:val="Strong1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en-GB" w:eastAsia="en-GB" w:bidi="ar-SA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FootnoteText">
    <w:name w:val="footnote text"/>
    <w:link w:val="FootnoteTextChar"/>
    <w:uiPriority w:val="99"/>
    <w:semiHidden/>
    <w:unhideWhenUsed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GB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894b2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nhideWhenUsed/>
    <w:rsid w:val="00894b2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irstParagraph" w:customStyle="1">
    <w:name w:val="First Paragraph"/>
    <w:basedOn w:val="BodyText"/>
    <w:next w:val="BodyText"/>
    <w:qFormat/>
    <w:rsid w:val="00894b29"/>
    <w:pPr>
      <w:spacing w:before="180" w:after="180"/>
    </w:pPr>
    <w:rPr>
      <w:rFonts w:ascii="Aptos" w:hAnsi="Aptos" w:eastAsia="Aptos" w:cs="" w:asciiTheme="minorHAnsi" w:cstheme="minorBidi" w:eastAsiaTheme="minorHAnsi" w:hAnsiTheme="minorHAnsi"/>
      <w:sz w:val="24"/>
      <w:szCs w:val="24"/>
      <w:lang w:val="en-US" w:eastAsia="en-US"/>
    </w:rPr>
  </w:style>
  <w:style w:type="paragraph" w:styleId="SourceCode" w:customStyle="1">
    <w:name w:val="Source Code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risk-assessments/home-office/ra-ho-18-fatigue.md" TargetMode="External"/><Relationship Id="rId3" Type="http://schemas.openxmlformats.org/officeDocument/2006/relationships/hyperlink" Target="../sops/health-safety/sop-8-8-lone-working.md" TargetMode="External"/><Relationship Id="rId4" Type="http://schemas.openxmlformats.org/officeDocument/2006/relationships/hyperlink" Target="../sops/health-safety/sop-8-10-havs.md" TargetMode="External"/><Relationship Id="rId5" Type="http://schemas.openxmlformats.org/officeDocument/2006/relationships/hyperlink" Target="../sops/health-safety/sop-8-13-driving.md" TargetMode="External"/><Relationship Id="rId6" Type="http://schemas.openxmlformats.org/officeDocument/2006/relationships/hyperlink" Target="../sops/health-safety/sop-8-13-driving.md" TargetMode="External"/><Relationship Id="rId7" Type="http://schemas.openxmlformats.org/officeDocument/2006/relationships/hyperlink" Target="../sops/health-safety/sop-8-8-lone-working.md" TargetMode="External"/><Relationship Id="rId8" Type="http://schemas.openxmlformats.org/officeDocument/2006/relationships/hyperlink" Target="../sops/health-safety/sop-8-10-havs.md" TargetMode="External"/><Relationship Id="rId9" Type="http://schemas.openxmlformats.org/officeDocument/2006/relationships/hyperlink" Target="../risk-assessments/home-office/ra-ho-18-fatigue.md" TargetMode="External"/><Relationship Id="rId10" Type="http://schemas.openxmlformats.org/officeDocument/2006/relationships/hyperlink" Target="../sops/health-safety/sop-8-1-incident-reporting.md" TargetMode="External"/><Relationship Id="rId11" Type="http://schemas.openxmlformats.org/officeDocument/2006/relationships/hyperlink" Target="../appendices/app-21-nc-register.md" TargetMode="External"/><Relationship Id="rId12" Type="http://schemas.openxmlformats.org/officeDocument/2006/relationships/hyperlink" Target="../risk-assessments/home-office/ra-ho-18-fatigue.md" TargetMode="External"/><Relationship Id="rId13" Type="http://schemas.openxmlformats.org/officeDocument/2006/relationships/hyperlink" Target="pol-29-mental-health.md" TargetMode="External"/><Relationship Id="rId14" Type="http://schemas.openxmlformats.org/officeDocument/2006/relationships/hyperlink" Target="pol-26-welfare.md" TargetMode="External"/><Relationship Id="rId15" Type="http://schemas.openxmlformats.org/officeDocument/2006/relationships/hyperlink" Target="pol-25-company-vehicles.md" TargetMode="External"/><Relationship Id="rId16" Type="http://schemas.openxmlformats.org/officeDocument/2006/relationships/hyperlink" Target="../sops/health-safety/sop-8-8-lone-working.md" TargetMode="External"/><Relationship Id="rId17" Type="http://schemas.openxmlformats.org/officeDocument/2006/relationships/hyperlink" Target="../sops/health-safety/sop-8-10-havs.md" TargetMode="External"/><Relationship Id="rId18" Type="http://schemas.openxmlformats.org/officeDocument/2006/relationships/hyperlink" Target="../sops/health-safety/sop-8-13-driving.md" TargetMode="External"/><Relationship Id="rId19" Type="http://schemas.openxmlformats.org/officeDocument/2006/relationships/hyperlink" Target="../appendices/app-07-hazards.md" TargetMode="External"/><Relationship Id="rId20" Type="http://schemas.openxmlformats.org/officeDocument/2006/relationships/hyperlink" Target="../risk-assessments/home-office/ra-ho-18-fatigue.md" TargetMode="External"/><Relationship Id="rId21" Type="http://schemas.openxmlformats.org/officeDocument/2006/relationships/hyperlink" Target="../sops/health-safety/sop-8-13-driving.md" TargetMode="External"/><Relationship Id="rId22" Type="http://schemas.openxmlformats.org/officeDocument/2006/relationships/hyperlink" Target="../sops/health-safety/sop-8-10-havs.md" TargetMode="External"/><Relationship Id="rId23" Type="http://schemas.openxmlformats.org/officeDocument/2006/relationships/hyperlink" Target="../sops/health-safety/sop-8-8-lone-working.md" TargetMode="External"/><Relationship Id="rId24" Type="http://schemas.openxmlformats.org/officeDocument/2006/relationships/header" Target="header1.xml"/><Relationship Id="rId25" Type="http://schemas.openxmlformats.org/officeDocument/2006/relationships/header" Target="header2.xml"/><Relationship Id="rId26" Type="http://schemas.openxmlformats.org/officeDocument/2006/relationships/header" Target="header3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footer" Target="footer3.xm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LibreOffice/26.2.2.2$MacOSX_AARCH64 LibreOffice_project/1f77d10d6938fd34972958f64b2bcfa54f8b1ba5</Application>
  <AppVersion>15.0000</AppVersion>
  <Pages>4</Pages>
  <Words>974</Words>
  <Characters>5692</Characters>
  <CharactersWithSpaces>6580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2026-06-02T09:51:23Z</dcterms:created>
  <dc:creator/>
  <dc:description/>
  <dc:language>en-GB</dc:language>
  <cp:lastModifiedBy/>
  <dcterms:modified xsi:type="dcterms:W3CDTF">2026-06-02T10:55:30Z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