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50"/>
        <w:gridCol w:w="7210"/>
      </w:tblGrid>
      <w:tr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0"/>
            </w:tcMar>
            <w:vAlign w:val="bottom"/>
          </w:tcPr>
          <w:p>
            <w:r>
              <w:drawing>
                <wp:inline distT="0" distB="0" distL="0" distR="0">
                  <wp:extent cx="1123950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30"/>
                <w:szCs w:val="30"/>
              </w:rPr>
              <w:t xml:space="preserve">Simple COSHH Assessment Form</w:t>
            </w:r>
          </w:p>
        </w:tc>
      </w:tr>
    </w:tbl>
    <w:p>
      <w:pPr>
        <w:pBdr>
          <w:bottom w:val="single" w:color="1E3A5F" w:sz="12" w:space="4"/>
        </w:pBdr>
        <w:spacing w:after="160"/>
      </w:pPr>
      <w:r>
        <w:rPr>
          <w:rFonts w:ascii="Calibri" w:cs="Calibri" w:eastAsia="Calibri" w:hAnsi="Calibri"/>
          <w:color w:val="5A6B7D"/>
          <w:sz w:val="15"/>
          <w:szCs w:val="15"/>
        </w:rPr>
        <w:t xml:space="preserve">FORM_COSHH_01  ·  Issue 1  ·  1 October 2026  ·  Next review 1 October 2027  ·  Controlled by Sean Ashton (HSQE Consultant)  ·  Approved by Aaron Mason, Director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You need the safety data sheet and the container in front of you. The SDS gives the classification and the exposure limits; the container tells you what is actually held, in what quantity, and whether the label matches the sheet. An assessment written from the SDS alone records a product rather than a use, and COSHH Regulation 6 is about the use.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Next free reference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Take it from APP_09 — do not reuse a withdrawn one</w:t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Where the SDS goes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Save a copy to docs/coshh/sds/. A supplier link is not enough on its own: suppliers move files</w:t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Who signs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Assessor, Supervisor, Director. The user acknowledges on issue</w:t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How long it takes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About twenty minutes with the sheet and the container to hand</w:t>
            </w:r>
          </w:p>
        </w:tc>
      </w:tr>
    </w:tbl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1 · Product identification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Product name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Supplier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Active ingredients / CAS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Physical form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Appearance / odour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Use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6B7D"/>
                <w:sz w:val="18"/>
                <w:szCs w:val="18"/>
              </w:rPr>
              <w:t xml:space="preserve">What it is used for at AMWS, on which task</w:t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6B7D"/>
                <w:sz w:val="18"/>
                <w:szCs w:val="18"/>
              </w:rPr>
              <w:t xml:space="preserve">Which cabinet, which van, which unit</w:t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Quantity held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6B7D"/>
                <w:sz w:val="18"/>
                <w:szCs w:val="18"/>
              </w:rPr>
              <w:t xml:space="preserve">The assessment covers the quantity stated. A 5 l assessment does not cover a 200 l drum</w:t>
            </w:r>
          </w:p>
        </w:tc>
      </w:tr>
    </w:tbl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2 · Hazard classification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Signal word:   Danger ☐     Warning ☐     None ☐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GHS pictograms:   GHS01 ☐  GHS02 ☐  GHS03 ☐  GHS04 ☐  GHS05 ☐  GHS06 ☐  GHS07 ☐  GHS08 ☐  GHS09 ☐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rPr>
          <w:tblHeader/>
        </w:trP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H-code</w:t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Statement</w:t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rPr>
          <w:tblHeader/>
        </w:trP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P-code</w:t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Statement</w:t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Calibri" w:cs="Calibri" w:eastAsia="Calibri" w:hAnsi="Calibri"/>
          <w:i/>
          <w:iCs/>
          <w:color w:val="5A6B7D"/>
          <w:sz w:val="18"/>
          <w:szCs w:val="18"/>
        </w:rPr>
        <w:t xml:space="preserve">Read from the container label and confirmed against the SDS. Where the two differ, record both and say which was used.</w:t>
      </w:r>
    </w:p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3 · Persons at risk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Staff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Public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Visitors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Contractor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Workers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Young / Pregnant</w:t>
            </w:r>
          </w:p>
        </w:tc>
      </w:tr>
      <w:tr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  <w:tc>
          <w:tcPr>
            <w:tcW w:type="dxa" w:w="1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</w:tr>
    </w:tbl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4 · Routes of exposure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Inhalation: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Skin contact: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Eye contact: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Ingestion: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5A6B7D"/>
          <w:sz w:val="18"/>
          <w:szCs w:val="18"/>
        </w:rPr>
        <w:t xml:space="preserve">Say which route is the significant one for this product and this task, not all four equally.</w:t>
      </w:r>
    </w:p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5 · Workplace exposure limits (HSE EH40/2005)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1500"/>
        <w:gridCol w:w="1500"/>
        <w:gridCol w:w="2560"/>
      </w:tblGrid>
      <w:tr>
        <w:trPr>
          <w:tblHeader/>
        </w:trP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Component</w:t>
            </w:r>
          </w:p>
        </w:tc>
        <w:tc>
          <w:tcPr>
            <w:tcW w:type="dxa" w:w="12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8-hr TWA</w:t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15-min STEL</w:t>
            </w:r>
          </w:p>
        </w:tc>
        <w:tc>
          <w:tcPr>
            <w:tcW w:type="dxa" w:w="2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Notes</w:t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Calibri" w:cs="Calibri" w:eastAsia="Calibri" w:hAnsi="Calibri"/>
          <w:i/>
          <w:iCs/>
          <w:color w:val="5A6B7D"/>
          <w:sz w:val="18"/>
          <w:szCs w:val="18"/>
        </w:rPr>
        <w:t xml:space="preserve">If no component has a WEL, say so. “None assigned” is an answer; a blank table is not.</w:t>
      </w:r>
    </w:p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6 · Frequency and duration of exposure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COSHH Regulation 6 requires the assessment to consider the amount, the level and the duration of exposure.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Amount used</w:t>
            </w:r>
          </w:p>
        </w:tc>
        <w:tc>
          <w:tcPr>
            <w:tcW w:type="dxa" w:w="312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Times per day</w:t>
            </w:r>
          </w:p>
        </w:tc>
        <w:tc>
          <w:tcPr>
            <w:tcW w:type="dxa" w:w="312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Duration per use</w:t>
            </w:r>
          </w:p>
        </w:tc>
      </w:tr>
      <w:tr>
        <w:tc>
          <w:tcPr>
            <w:tcW w:type="dxa" w:w="312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7 · Control measures — hierarchy of controls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6460"/>
        <w:gridCol w:w="1000"/>
      </w:tblGrid>
      <w:tr>
        <w:trPr>
          <w:tblHeader/>
        </w:trPr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Level</w:t>
            </w:r>
          </w:p>
        </w:tc>
        <w:tc>
          <w:tcPr>
            <w:tcW w:type="dxa" w:w="64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Control</w:t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Applied</w:t>
            </w:r>
          </w:p>
        </w:tc>
      </w:tr>
      <w:tr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Eliminate</w:t>
            </w:r>
          </w:p>
        </w:tc>
        <w:tc>
          <w:tcPr>
            <w:tcW w:type="dxa" w:w="64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Substitute</w:t>
            </w:r>
          </w:p>
        </w:tc>
        <w:tc>
          <w:tcPr>
            <w:tcW w:type="dxa" w:w="64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Engineering</w:t>
            </w:r>
          </w:p>
        </w:tc>
        <w:tc>
          <w:tcPr>
            <w:tcW w:type="dxa" w:w="64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ventilation, bunding, closed transfer</w:t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Administrative</w:t>
            </w:r>
          </w:p>
        </w:tc>
        <w:tc>
          <w:tcPr>
            <w:tcW w:type="dxa" w:w="64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procedure, training, restricted access, signage</w:t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PPE</w:t>
            </w:r>
          </w:p>
        </w:tc>
        <w:tc>
          <w:tcPr>
            <w:tcW w:type="dxa" w:w="64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the actual gloves, goggles or RPE — name them, by type</w:t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</w:tr>
    </w:tbl>
    <w:p>
      <w:pPr>
        <w:spacing w:after="100" w:before="0"/>
      </w:pPr>
      <w:r>
        <w:rPr>
          <w:rFonts w:ascii="Calibri" w:cs="Calibri" w:eastAsia="Calibri" w:hAnsi="Calibri"/>
          <w:i/>
          <w:iCs/>
          <w:color w:val="5A6B7D"/>
          <w:sz w:val="18"/>
          <w:szCs w:val="18"/>
        </w:rPr>
        <w:t xml:space="preserve">PPE is last and it is never the whole answer. Name the glove material, not “gloves”.</w:t>
      </w:r>
    </w:p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8 · Storage and handling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Temperature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Avoid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A6B7D"/>
                <w:sz w:val="18"/>
                <w:szCs w:val="18"/>
              </w:rPr>
              <w:t xml:space="preserve">incompatible materials</w:t>
            </w:r>
          </w:p>
        </w:tc>
      </w:tr>
      <w:tr>
        <w:tc>
          <w:tcPr>
            <w:tcW w:type="dxa" w:w="26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Container</w:t>
            </w:r>
          </w:p>
        </w:tc>
        <w:tc>
          <w:tcPr>
            <w:tcW w:type="dxa" w:w="67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pageBreakBefore/>
      </w:pPr>
    </w:p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9 · Emergency procedures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First aid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Eyes</w:t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Skin</w:t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Inhalation</w:t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Ingestion</w:t>
            </w:r>
          </w:p>
        </w:tc>
        <w:tc>
          <w:tcPr>
            <w:tcW w:type="dxa" w:w="75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12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Spillage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120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Fire — suitable extinguishing media, and what not to use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10 · Waste disposal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5A6B7D"/>
          <w:sz w:val="18"/>
          <w:szCs w:val="18"/>
        </w:rPr>
        <w:t xml:space="preserve">Waste stream, carrier, and whether a hazardous waste consignment note is required.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11 · Risk rating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Before controls</w:t>
            </w:r>
          </w:p>
        </w:tc>
        <w:tc>
          <w:tcPr>
            <w:tcW w:type="dxa" w:w="468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With controls</w:t>
            </w:r>
          </w:p>
        </w:tc>
      </w:tr>
      <w:tr>
        <w:tc>
          <w:tcPr>
            <w:tcW w:type="dxa" w:w="468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68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Calibri" w:cs="Calibri" w:eastAsia="Calibri" w:hAnsi="Calibri"/>
          <w:i/>
          <w:iCs/>
          <w:color w:val="5A6B7D"/>
          <w:sz w:val="18"/>
          <w:szCs w:val="18"/>
        </w:rPr>
        <w:t xml:space="preserve">Severity × Likelihood = Risk (S × L = R). See POL_HSQE_21 Risk Assessment for the full scoring matrix.</w:t>
      </w:r>
    </w:p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12 · Training requirements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Calibri" w:cs="Calibri" w:eastAsia="Calibri" w:hAnsi="Calibri"/>
          <w:i/>
          <w:iCs/>
          <w:color w:val="5A6B7D"/>
          <w:sz w:val="18"/>
          <w:szCs w:val="18"/>
        </w:rPr>
        <w:t xml:space="preserve">Regulation 12 requires users to be informed, instructed and trained. Name what they need, so it can be put on APP_12 Training Matrix.</w:t>
      </w:r>
    </w:p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13 · Assessment outcome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60"/>
        <w:gridCol w:w="1000"/>
      </w:tblGrid>
      <w:tr>
        <w:trPr>
          <w:tblHeader/>
        </w:trPr>
        <w:tc>
          <w:tcPr>
            <w:tcW w:type="dxa" w:w="8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Outcome</w:t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8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Safe to proceed with existing control measures</w:t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8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Safe to proceed with additional actions</w:t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83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Unsafe — do not proceed</w:t>
            </w:r>
          </w:p>
        </w:tc>
        <w:tc>
          <w:tcPr>
            <w:tcW w:type="dxa" w:w="10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</w:t>
            </w:r>
          </w:p>
        </w:tc>
      </w:tr>
    </w:tbl>
    <w:p>
      <w:pPr>
        <w:spacing w:after="100" w:before="0"/>
      </w:pPr>
      <w:r>
        <w:rPr>
          <w:rFonts w:ascii="Calibri" w:cs="Calibri" w:eastAsia="Calibri" w:hAnsi="Calibri"/>
          <w:i/>
          <w:iCs/>
          <w:color w:val="5A6B7D"/>
          <w:sz w:val="18"/>
          <w:szCs w:val="18"/>
        </w:rPr>
        <w:t xml:space="preserve">If additional actions, list them with an owner and a date.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260"/>
        <w:gridCol w:w="1900"/>
        <w:gridCol w:w="1500"/>
      </w:tblGrid>
      <w:tr>
        <w:trPr>
          <w:tblHeader/>
        </w:trPr>
        <w:tc>
          <w:tcPr>
            <w:tcW w:type="dxa" w:w="7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#</w:t>
            </w:r>
          </w:p>
        </w:tc>
        <w:tc>
          <w:tcPr>
            <w:tcW w:type="dxa" w:w="52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Action</w:t>
            </w:r>
          </w:p>
        </w:tc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Target</w:t>
            </w:r>
          </w:p>
        </w:tc>
      </w:tr>
      <w:tr>
        <w:tc>
          <w:tcPr>
            <w:tcW w:type="dxa" w:w="7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52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52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52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14 · Monitoring and review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• Monthly cabinet check on FORM_COSHH_CAB_01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• Audit against this assessment under APP_26, on the frequency set for its hazard group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• Annual review, or sooner on change of product, supplier or task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• Review immediately if the SDS obtained differs from the profile assumed above</w:t>
      </w:r>
    </w:p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15 · References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• Supplier safety data sheet — document number, issue and date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• Control of Substances Hazardous to Health Regulations 2002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• CLP Regulation (EC) No 1272/2008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• HSE EH40/2005 Workplace Exposure Limits</w:t>
      </w:r>
    </w:p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16 · Signatures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60"/>
        <w:gridCol w:w="2500"/>
        <w:gridCol w:w="1500"/>
      </w:tblGrid>
      <w:tr>
        <w:trPr>
          <w:tblHeader/>
        </w:trPr>
        <w:tc>
          <w:tcPr>
            <w:tcW w:type="dxa" w:w="22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/>
            </w:r>
          </w:p>
        </w:tc>
        <w:tc>
          <w:tcPr>
            <w:tcW w:type="dxa" w:w="31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Name</w:t>
            </w:r>
          </w:p>
        </w:tc>
        <w:tc>
          <w:tcPr>
            <w:tcW w:type="dxa" w:w="2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Signature</w:t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shd w:fill="EEF2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3A5F"/>
                <w:sz w:val="16"/>
                <w:szCs w:val="16"/>
              </w:rPr>
              <w:t xml:space="preserve">Date</w:t>
            </w:r>
          </w:p>
        </w:tc>
      </w:tr>
      <w:tr>
        <w:tc>
          <w:tcPr>
            <w:tcW w:type="dxa" w:w="22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Assessor</w:t>
            </w:r>
          </w:p>
        </w:tc>
        <w:tc>
          <w:tcPr>
            <w:tcW w:type="dxa" w:w="31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Supervisor</w:t>
            </w:r>
          </w:p>
        </w:tc>
        <w:tc>
          <w:tcPr>
            <w:tcW w:type="dxa" w:w="31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Approved by</w:t>
            </w:r>
          </w:p>
        </w:tc>
        <w:tc>
          <w:tcPr>
            <w:tcW w:type="dxa" w:w="31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Aaron Mason, Director</w:t>
            </w:r>
          </w:p>
        </w:tc>
        <w:tc>
          <w:tcPr>
            <w:tcW w:type="dxa" w:w="2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User acknowledgement</w:t>
            </w:r>
          </w:p>
        </w:tc>
        <w:tc>
          <w:tcPr>
            <w:tcW w:type="dxa" w:w="316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4D0" w:sz="4"/>
              <w:left w:val="single" w:color="B9C4D0" w:sz="4"/>
              <w:bottom w:val="single" w:color="B9C4D0" w:sz="4"/>
              <w:right w:val="single" w:color="B9C4D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B9C4D0" w:sz="4" w:space="2"/>
        </w:pBdr>
        <w:spacing w:after="110" w:before="260"/>
      </w:pP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After the assessment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1.  Add the row to APP_09 — reference, substance, signal word, location.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2.  Save the SDS to docs/coshh/sds/ and link it from the assessment.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3.  If the substance is carried in the van packs, mark it so, and it syncs to the Van Packs portal.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4.  If section 13 carried actions, they are tracked to their dates and the assessment is reissued when they close.</w:t>
      </w:r>
    </w:p>
    <w:p>
      <w:pPr>
        <w:spacing w:after="100" w:before="0"/>
      </w:pPr>
      <w:r>
        <w:rPr>
          <w:rFonts w:ascii="Calibri" w:cs="Calibri" w:eastAsia="Calibri" w:hAnsi="Calibri"/>
          <w:sz w:val="18"/>
          <w:szCs w:val="18"/>
        </w:rPr>
        <w:t xml:space="preserve">5.  If it is a hazard group that needs an early audit, schedule the first one on APP_26.</w:t>
      </w:r>
    </w:p>
    <w:p>
      <w:pPr>
        <w:pBdr>
          <w:top w:val="single" w:color="B9C4D0" w:sz="4" w:space="4"/>
        </w:pBdr>
        <w:spacing w:before="300"/>
      </w:pPr>
      <w:r>
        <w:rPr>
          <w:rFonts w:ascii="Calibri" w:cs="Calibri" w:eastAsia="Calibri" w:hAnsi="Calibri"/>
          <w:color w:val="5A6B7D"/>
          <w:sz w:val="14"/>
          <w:szCs w:val="14"/>
        </w:rPr>
        <w:t xml:space="preserve">FORM_COSHH_01 · Issue 1 · 1 October 2026 · A M Water Services Limited · Uncontrolled when printed</w:t>
      </w:r>
    </w:p>
    <w:sectPr>
      <w:pgSz w:w="11906" w:h="16838" w:orient="portrait"/>
      <w:pgMar w:top="900" w:right="900" w:bottom="8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2b6b118bf66158c8730411d5e7b60704c4e033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FORM_COSHH_01 — Simple COSHH Assessment Form</dc:title>
  <dc:creator>Onyx Operations Ltd for A M Water Services Limited</dc:creator>
  <dc:description>Blank COSHH assessment, sixteen-section format</dc:description>
  <cp:lastModifiedBy>Un-named</cp:lastModifiedBy>
  <cp:revision>1</cp:revision>
  <dcterms:created xsi:type="dcterms:W3CDTF">2026-10-02T06:43:06.175Z</dcterms:created>
  <dcterms:modified xsi:type="dcterms:W3CDTF">2026-10-02T06:43:06.175Z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