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Integrated Management System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Acknowledgement Record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HSE-BR-001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(HSQE Consultant — 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120" w:before="360"/>
      </w:pPr>
      <w:r>
        <w:rPr>
          <w:sz w:val="20"/>
          <w:szCs w:val="20"/>
        </w:rPr>
        <w:t xml:space="preserve">By signing below, staff members acknowledge that they have received, read, and understood a comprehensive health and safety briefing covering: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b/>
          <w:bCs/>
          <w:color w:val="0f1f33"/>
          <w:sz w:val="20"/>
          <w:szCs w:val="20"/>
        </w:rPr>
        <w:t xml:space="preserve">Method Statements</w:t>
      </w:r>
      <w:r>
        <w:rPr>
          <w:sz w:val="20"/>
          <w:szCs w:val="20"/>
        </w:rPr>
        <w:t xml:space="preserve"> — Safe systems of work for all relevant activities (MS 2.x and MS 3.x series, Issue 2 dated 1 June 2026)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b/>
          <w:bCs/>
          <w:color w:val="0f1f33"/>
          <w:sz w:val="20"/>
          <w:szCs w:val="20"/>
        </w:rPr>
        <w:t xml:space="preserve">Risk Assessments — Field</w:t>
      </w:r>
      <w:r>
        <w:rPr>
          <w:sz w:val="20"/>
          <w:szCs w:val="20"/>
        </w:rPr>
        <w:t xml:space="preserve"> — Identification and control of field-task workplace hazards (RA01–RA25, Issue 2 dated 1 June 2026)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b/>
          <w:bCs/>
          <w:color w:val="0f1f33"/>
          <w:sz w:val="20"/>
          <w:szCs w:val="20"/>
        </w:rPr>
        <w:t xml:space="preserve">Risk Assessments — Head Office &amp; Home Working</w:t>
      </w:r>
      <w:r>
        <w:rPr>
          <w:sz w:val="20"/>
          <w:szCs w:val="20"/>
        </w:rPr>
        <w:t xml:space="preserve"> — Identification and control of office and home-working hazards (RA_HO_01–18, latest issue)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b/>
          <w:bCs/>
          <w:color w:val="0f1f33"/>
          <w:sz w:val="20"/>
          <w:szCs w:val="20"/>
        </w:rPr>
        <w:t xml:space="preserve">Company Policies</w:t>
      </w:r>
      <w:r>
        <w:rPr>
          <w:sz w:val="20"/>
          <w:szCs w:val="20"/>
        </w:rPr>
        <w:t xml:space="preserve"> — Health, safety, environmental, quality and HR procedures (POL_HSQE_00–30 series)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b/>
          <w:bCs/>
          <w:color w:val="0f1f33"/>
          <w:sz w:val="20"/>
          <w:szCs w:val="20"/>
        </w:rPr>
        <w:t xml:space="preserve">COSHH Assessments</w:t>
      </w:r>
      <w:r>
        <w:rPr>
          <w:sz w:val="20"/>
          <w:szCs w:val="20"/>
        </w:rPr>
        <w:t xml:space="preserve"> — Control of substances hazardous to health (COSHH_01–24, Issue 2 dated 1 June 2026)</w:t>
      </w:r>
    </w:p>
    <w:p>
      <w:pPr>
        <w:spacing w:after="0" w:before="160"/>
      </w:pPr>
      <w:r>
        <w:rPr>
          <w:sz w:val="20"/>
          <w:szCs w:val="20"/>
        </w:rPr>
        <w:t xml:space="preserve">Staff members confirm they will comply with all safety requirements and procedures outlined in these documents. Any updates to risk assessments, method statements, or procedures will be communicated and re-briefing will be recorded in the Update Record below.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Signature Record</w:t>
      </w:r>
    </w:p>
    <w:p>
      <w:pPr>
        <w:spacing w:after="200" w:before="0"/>
      </w:pPr>
      <w:r>
        <w:rPr>
          <w:i/>
          <w:iCs/>
          <w:color w:val="595959"/>
          <w:sz w:val="18"/>
          <w:szCs w:val="18"/>
        </w:rPr>
        <w:t xml:space="preserve">Roster taken from the AMWS Organisational Chart, Version 2 (16 April 2026). Signature and date columns are reset on re-issue and completed at re-briefing.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Directors, supervision &amp; office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50"/>
        <w:gridCol w:w="1400"/>
        <w:gridCol w:w="3200"/>
        <w:gridCol w:w="2588"/>
        <w:gridCol w:w="1300"/>
      </w:tblGrid>
      <w:tr>
        <w:trPr>
          <w:tblHeader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First Name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Surname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Role /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Mason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Director (Teams, H&amp;S)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Aaron Mason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Leanne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Mason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Director (Finance &amp; Admin / Business Continuity &amp; H&amp;S)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Leanne Mason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Jason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Supervisor (All Areas)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Jason May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Ashton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HSQE Consultant (Onyx Operations)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Sean Ashton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Joanne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Graham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Admin Assistant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Joanne Graham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Field operatives — by team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50"/>
        <w:gridCol w:w="1400"/>
        <w:gridCol w:w="3200"/>
        <w:gridCol w:w="2588"/>
        <w:gridCol w:w="1300"/>
      </w:tblGrid>
      <w:tr>
        <w:trPr>
          <w:tblHeader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First Name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Surname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Role /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Joshua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Greenaway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Joshua Greenaway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Matthew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Hawkins-Wills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Matthew Hawkins-Wills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James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Bunce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2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James Bunce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Jake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Gascoyne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2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Jake Gascoyne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Frederick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Rudd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3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Frederick Rudd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Ashton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Dear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3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Ashton Dear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Ian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Clemence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4 — Above 10T D/D R&amp;M / Service Layer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Ian Clemence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Andrew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Short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4 — Above 10T D/D R&amp;M / Service Layer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Andrew Short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Brandon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Amos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5 — Dumper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Brandon Amos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Loui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King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5 — Dumper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Loui King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McCarthy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6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Sean McCarthy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Scott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Jeakins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6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Scott Jeakins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Duncan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Macleod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7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Duncan Macleod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Mitchell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Bamford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7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Mitchell Bamford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Leigh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Goode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8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Leigh Goode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Adelino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Malagni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8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Adelino Malagni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Stuart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James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9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Stuart James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Jason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Morley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9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Jason Morley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Stephen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Brighton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10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Stephen Brighton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Tom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Bates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10 — Above 10T D/D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Tom Bates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Karl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Anderson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11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Karl Anderson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Jamie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Reeve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11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Jamie Reeve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Scott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Caswell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12 — Hand Dig Dumper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Scott Caswell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Danny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Doyle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12 — Hand Dig Dumper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Danny Doyle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Daniel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Croxford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13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Daniel Croxford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Daniel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Lucas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13 — Hand Dig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Daniel Lucas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McKenna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14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Sean McKenna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Kieran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Pacey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14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Kieran Pacey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Read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15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Aaron Read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Ashley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Gale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15 — Above 10T Digger R&amp;M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Ashley Gale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Richard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Cowdell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16 — Driver / Support Operative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Richard Cowdell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Ian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Archer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17 — Grab Lorry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Ian Archer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Paul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Harris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17 — Grab Lorry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Paul Harris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Ashley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Luckock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18 — Grab Lorry Driver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Ashley Luckock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Neville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Roberts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19 — Tarmac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Neville Roberts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Stephen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Roberts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19 — Tarmac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Stephen Roberts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Martin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Marks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20 — Tarmac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Martin Marks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rPr>
          <w:trHeight w:val="540" w:hRule="atLeast"/>
        </w:trPr>
        <w:tc>
          <w:tcPr>
            <w:tcW w:type="dxa" w:w="1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Thomas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Mobley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color w:val="595959"/>
                <w:sz w:val="18"/>
                <w:szCs w:val="18"/>
              </w:rPr>
              <w:t xml:space="preserve">Team 20 — Tarmac Team</w:t>
            </w:r>
          </w:p>
        </w:tc>
        <w:tc>
          <w:tcPr>
            <w:tcW w:type="dxa" w:w="258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Lucida Handwriting" w:cs="Lucida Handwriting" w:eastAsia="Lucida Handwriting" w:hAnsi="Lucida Handwriting"/>
                <w:i/>
                <w:iCs/>
                <w:color w:val="0f1f33"/>
                <w:sz w:val="22"/>
                <w:szCs w:val="22"/>
              </w:rPr>
              <w:t xml:space="preserve">Thomas Mobley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Update Record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1800"/>
        <w:gridCol w:w="1838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 of Changes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Briefed By</w:t>
            </w:r>
          </w:p>
        </w:tc>
        <w:tc>
          <w:tcPr>
            <w:tcW w:type="dxa" w:w="1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Staff Re-briefed</w:t>
            </w:r>
          </w:p>
        </w:tc>
      </w:tr>
      <w:tr>
        <w:trPr>
          <w:trHeight w:val="800" w:hRule="atLeast"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sz w:val="18"/>
                <w:szCs w:val="18"/>
              </w:rPr>
              <w:t xml:space="preserve">1 June 2026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>Re-issued at Issue 2 — covering Issue 2 of all Van Pack documents (RA01–RA25, MS 2.x and 3.x, COSHH_01–24), HO-RA scope expansion (RA_HO_01–18 brought into acknowledgement explicitly), updated roster from April 2026 organisational chart (11 new starters, 9 leavers removed).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>Sean Ashton (HSQE Consultant)</w:t>
            </w:r>
          </w:p>
        </w:tc>
        <w:tc>
          <w:tcPr>
            <w:tcW w:type="dxa" w:w="1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>All 43 staff</w:t>
            </w:r>
          </w:p>
        </w:tc>
      </w:tr>
      <w:tr>
        <w:trPr>
          <w:trHeight w:val="540" w:hRule="atLeast"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40" w:hRule="atLeast"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record is the controlled register of staff acknowledgement for the Integrated Management System documents listed above. Held by the HSQE Consultant; reviewed at least annually or sooner on substantive document change.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HSE-BR-001 — Acknowledgement Record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HSE-BR-001 — Acknowledgement Record</dc:title>
  <dc:creator>Sean Ashton (Onyx Operations)</dc:creator>
  <dc:description>A M Water Services Ltd — Integrated Management System</dc:description>
  <cp:lastModifiedBy>Un-named</cp:lastModifiedBy>
  <cp:revision>1</cp:revision>
  <dcterms:created xsi:type="dcterms:W3CDTF">2026-05-28T11:17:08.120Z</dcterms:created>
  <dcterms:modified xsi:type="dcterms:W3CDTF">2026-05-28T11:17:08.120Z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