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E3A5F"/>
          <w:sz w:val="40"/>
        </w:rPr>
        <w:t>RA_HO_01 — Remote Workstation Setup</w:t>
      </w:r>
    </w:p>
    <w:p>
      <w:r>
        <w:rPr>
          <w:color w:val="555555"/>
          <w:sz w:val="20"/>
        </w:rPr>
        <w:t>A M Water Services Ltd — Risk Assessment</w:t>
      </w:r>
    </w:p>
    <w:p/>
    <w:p>
      <w:pPr>
        <w:pStyle w:val="Heading2"/>
      </w:pPr>
      <w:r>
        <w:rPr>
          <w:color w:val="1E3A5F"/>
        </w:rPr>
        <w:t>Document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  <w:sz w:val="20"/>
              </w:rPr>
              <w:t>Document Reference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RA_HO_01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Issue Date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04/07/2025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Next Review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04/07/2026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Assessed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Sean Ashton (HSQE Consultant)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Aaron Mason, Director</w:t>
            </w:r>
          </w:p>
        </w:tc>
      </w:tr>
      <w:tr>
        <w:tc>
          <w:tcPr>
            <w:tcW w:type="dxa" w:w="4986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Controlled</w:t>
            </w:r>
          </w:p>
        </w:tc>
      </w:tr>
    </w:tbl>
    <w:p/>
    <w:p>
      <w:pPr>
        <w:pStyle w:val="Heading2"/>
      </w:pPr>
      <w:r>
        <w:rPr>
          <w:color w:val="1E3A5F"/>
        </w:rPr>
        <w:t>Task/Activity</w:t>
      </w:r>
    </w:p>
    <w:p>
      <w:r>
        <w:rPr>
          <w:sz w:val="20"/>
        </w:rPr>
        <w:t>Setting up and working from remote/home office workstations</w:t>
      </w:r>
    </w:p>
    <w:p>
      <w:pPr>
        <w:pStyle w:val="Heading2"/>
      </w:pPr>
      <w:r>
        <w:rPr>
          <w:color w:val="1E3A5F"/>
        </w:rPr>
        <w:t>Location</w:t>
      </w:r>
    </w:p>
    <w:p>
      <w:r>
        <w:rPr>
          <w:sz w:val="20"/>
        </w:rPr>
        <w:t>Home offices and remote working locations</w:t>
      </w:r>
    </w:p>
    <w:p>
      <w:pPr>
        <w:pStyle w:val="Heading2"/>
      </w:pPr>
      <w:r>
        <w:rPr>
          <w:color w:val="1E3A5F"/>
        </w:rPr>
        <w:t>Persons at Risk</w:t>
      </w:r>
    </w:p>
    <w:p>
      <w:pPr>
        <w:pStyle w:val="ListBullet"/>
      </w:pPr>
      <w:r>
        <w:rPr>
          <w:sz w:val="20"/>
        </w:rPr>
        <w:t>All remote staff</w:t>
      </w:r>
    </w:p>
    <w:p>
      <w:pPr>
        <w:pStyle w:val="ListBullet"/>
      </w:pPr>
      <w:r>
        <w:rPr>
          <w:sz w:val="20"/>
        </w:rPr>
        <w:t>Family members sharing workspace</w:t>
      </w:r>
    </w:p>
    <w:p>
      <w:pPr>
        <w:pStyle w:val="Heading2"/>
      </w:pPr>
      <w:r>
        <w:rPr>
          <w:color w:val="1E3A5F"/>
        </w:rPr>
        <w:t>Hazards and Controls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108"/>
        <w:gridCol w:w="1108"/>
        <w:gridCol w:w="1108"/>
        <w:gridCol w:w="1108"/>
        <w:gridCol w:w="1108"/>
        <w:gridCol w:w="1108"/>
        <w:gridCol w:w="1108"/>
        <w:gridCol w:w="1108"/>
        <w:gridCol w:w="1108"/>
      </w:tblGrid>
      <w:tr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Hazard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Existing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Additional Controls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S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L</w:t>
            </w:r>
          </w:p>
        </w:tc>
        <w:tc>
          <w:tcPr>
            <w:tcW w:type="dxa" w:w="1108"/>
            <w:shd w:fill="1E3A5F"/>
          </w:tcPr>
          <w:p>
            <w:r>
              <w:rPr>
                <w:b/>
                <w:color w:val="FFFFFF"/>
                <w:sz w:val="18"/>
              </w:rPr>
              <w:t>R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Musculoskeletal disorders from poor ergonomics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DSE assessment forms, ergonomic guidance, equipment provision scheme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Complete outstanding DSE assessments, provide ergonomic equipment vouchers, quarterly reviews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Prolonged screen time causing eye strain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breaks advised, eye test vouchers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Mandatory break reminders, screen filters provided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Inadequate furniture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Basic equipment provided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Ergonomic chair and desk options, setup allowance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Poor workspace ventilation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Guidance on workspace setup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Ventilation assessment checklist, fan provision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2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Insufficient workspace causing clutter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Home working policy guidance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6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Minimum space requirements, storage solutions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Isolation from colleagues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Regular team meetings, chat systems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Mandatory weekly check-ins, virtual coffee breaks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  <w:tr>
        <w:tc>
          <w:tcPr>
            <w:tcW w:type="dxa" w:w="1108"/>
          </w:tcPr>
          <w:p>
            <w:r>
              <w:rPr>
                <w:sz w:val="18"/>
              </w:rPr>
              <w:t>Work-life balance issues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Flexible working policy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🟡 9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Right to disconnect policy, time management training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1108"/>
          </w:tcPr>
          <w:p>
            <w:r>
              <w:rPr>
                <w:sz w:val="18"/>
              </w:rPr>
              <w:t>🟢 4</w:t>
            </w:r>
          </w:p>
        </w:tc>
      </w:tr>
    </w:tbl>
    <w:p/>
    <w:p>
      <w:pPr>
        <w:pStyle w:val="Heading2"/>
      </w:pPr>
      <w:r>
        <w:rPr>
          <w:color w:val="1E3A5F"/>
        </w:rPr>
        <w:t>PPE Requirements</w:t>
      </w:r>
    </w:p>
    <w:p>
      <w:pPr>
        <w:pStyle w:val="ListBullet"/>
      </w:pPr>
      <w:r>
        <w:rPr>
          <w:sz w:val="20"/>
        </w:rPr>
        <w:t>None specific (ergonomic equipment as required)</w:t>
      </w:r>
    </w:p>
    <w:p>
      <w:pPr>
        <w:pStyle w:val="Heading2"/>
      </w:pPr>
      <w:r>
        <w:rPr>
          <w:color w:val="1E3A5F"/>
        </w:rPr>
        <w:t>Training Requirements</w:t>
      </w:r>
    </w:p>
    <w:p>
      <w:pPr>
        <w:pStyle w:val="ListBullet"/>
      </w:pPr>
      <w:r>
        <w:rPr>
          <w:sz w:val="20"/>
        </w:rPr>
        <w:t>DSE awareness training</w:t>
      </w:r>
    </w:p>
    <w:p>
      <w:pPr>
        <w:pStyle w:val="ListBullet"/>
      </w:pPr>
      <w:r>
        <w:rPr>
          <w:sz w:val="20"/>
        </w:rPr>
        <w:t>Workstation setup guidance</w:t>
      </w:r>
    </w:p>
    <w:p>
      <w:pPr>
        <w:pStyle w:val="ListBullet"/>
      </w:pPr>
      <w:r>
        <w:rPr>
          <w:sz w:val="20"/>
        </w:rPr>
        <w:t>Ergonomic best practices</w:t>
      </w:r>
    </w:p>
    <w:p>
      <w:pPr>
        <w:pStyle w:val="ListBullet"/>
      </w:pPr>
      <w:r>
        <w:rPr>
          <w:sz w:val="20"/>
        </w:rPr>
        <w:t>Mental health awareness</w:t>
      </w:r>
    </w:p>
    <w:p>
      <w:pPr>
        <w:pStyle w:val="ListBullet"/>
      </w:pPr>
      <w:r>
        <w:rPr>
          <w:sz w:val="20"/>
        </w:rPr>
        <w:t>Time management skills</w:t>
      </w:r>
    </w:p>
    <w:p>
      <w:pPr>
        <w:pStyle w:val="Heading2"/>
      </w:pPr>
      <w:r>
        <w:rPr>
          <w:color w:val="1E3A5F"/>
        </w:rPr>
        <w:t>Emergency Procedures</w:t>
      </w:r>
    </w:p>
    <w:p>
      <w:pPr>
        <w:pStyle w:val="ListBullet"/>
      </w:pPr>
      <w:r>
        <w:rPr>
          <w:sz w:val="20"/>
        </w:rPr>
        <w:t>First aid guidance for musculoskeletal issues</w:t>
      </w:r>
    </w:p>
    <w:p>
      <w:pPr>
        <w:pStyle w:val="ListBullet"/>
      </w:pPr>
      <w:r>
        <w:rPr>
          <w:sz w:val="20"/>
        </w:rPr>
        <w:t>Occupational health referral process</w:t>
      </w:r>
    </w:p>
    <w:p>
      <w:pPr>
        <w:pStyle w:val="ListBullet"/>
      </w:pPr>
      <w:r>
        <w:rPr>
          <w:sz w:val="20"/>
        </w:rPr>
        <w:t>Line manager reporting</w:t>
      </w:r>
    </w:p>
    <w:p>
      <w:pPr>
        <w:pStyle w:val="ListBullet"/>
      </w:pPr>
      <w:r>
        <w:rPr>
          <w:sz w:val="20"/>
        </w:rPr>
        <w:t>Wellbeing support access</w:t>
      </w:r>
    </w:p>
    <w:p>
      <w:pPr>
        <w:pStyle w:val="Heading2"/>
      </w:pPr>
      <w:r>
        <w:rPr>
          <w:color w:val="1E3A5F"/>
        </w:rPr>
        <w:t>Monitoring</w:t>
      </w:r>
    </w:p>
    <w:p>
      <w:pPr>
        <w:pStyle w:val="ListBullet"/>
      </w:pPr>
      <w:r>
        <w:rPr>
          <w:sz w:val="20"/>
        </w:rPr>
        <w:t>Yearly DSE self-assessments</w:t>
      </w:r>
    </w:p>
    <w:p>
      <w:pPr>
        <w:pStyle w:val="ListBullet"/>
      </w:pPr>
      <w:r>
        <w:rPr>
          <w:sz w:val="20"/>
        </w:rPr>
        <w:t>Annual ergonomic reviews</w:t>
      </w:r>
    </w:p>
    <w:p>
      <w:pPr>
        <w:pStyle w:val="ListBullet"/>
      </w:pPr>
      <w:r>
        <w:rPr>
          <w:sz w:val="20"/>
        </w:rPr>
        <w:t>Incident tracking</w:t>
      </w:r>
    </w:p>
    <w:p/>
    <w:p>
      <w:r>
        <w:rPr>
          <w:i/>
          <w:color w:val="555555"/>
          <w:sz w:val="18"/>
        </w:rPr>
        <w:t>This document forms part of A M Water Services Limited's Integrated Management System. Paper copies are uncontrolled when printed.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1435608" cy="5463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608" cy="5463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