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RA_HO_03 — Home Electrical Safety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RA_HO_03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Use of electrical equipment in home office environments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Home offices and remote working locations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Remote staff</w:t>
      </w:r>
    </w:p>
    <w:p>
      <w:pPr>
        <w:pStyle w:val="ListBullet"/>
      </w:pPr>
      <w:r>
        <w:rPr>
          <w:sz w:val="20"/>
        </w:rPr>
        <w:t>Household members</w:t>
      </w:r>
    </w:p>
    <w:p>
      <w:pPr>
        <w:pStyle w:val="ListBullet"/>
      </w:pPr>
      <w:r>
        <w:rPr>
          <w:sz w:val="20"/>
        </w:rPr>
        <w:t>Visitors to home office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Electrical hazards from overloaded sockets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Home working checklist, guidance provided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Surge protector provision, load management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Faulty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PAT tested equipment provision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Annual home safety assessments, equipment replacement program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electrical setup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Basic safety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Electrical safety training, professional setup support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Trailing cables creating trip hazards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Cable management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Cable management kit provision, wireless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Fire from electrical faults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Smoke detector requirements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extinguisher provision, emergency plan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Electric shock from damaged cables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Visual inspection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cable replacement, protective conduits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earthing/grounding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RCD protection advised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RCD adapter provision, earth testing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Not applicable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Electrical safety awareness</w:t>
      </w:r>
    </w:p>
    <w:p>
      <w:pPr>
        <w:pStyle w:val="ListBullet"/>
      </w:pPr>
      <w:r>
        <w:rPr>
          <w:sz w:val="20"/>
        </w:rPr>
        <w:t>Visual inspection training</w:t>
      </w:r>
    </w:p>
    <w:p>
      <w:pPr>
        <w:pStyle w:val="ListBullet"/>
      </w:pPr>
      <w:r>
        <w:rPr>
          <w:sz w:val="20"/>
        </w:rPr>
        <w:t>Emergency response</w:t>
      </w:r>
    </w:p>
    <w:p>
      <w:pPr>
        <w:pStyle w:val="ListBullet"/>
      </w:pPr>
      <w:r>
        <w:rPr>
          <w:sz w:val="20"/>
        </w:rPr>
        <w:t>Fire safety</w:t>
      </w:r>
    </w:p>
    <w:p>
      <w:pPr>
        <w:pStyle w:val="ListBullet"/>
      </w:pPr>
      <w:r>
        <w:rPr>
          <w:sz w:val="20"/>
        </w:rPr>
        <w:t>PAT testing basics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Electrical isolation procedures</w:t>
      </w:r>
    </w:p>
    <w:p>
      <w:pPr>
        <w:pStyle w:val="ListBullet"/>
      </w:pPr>
      <w:r>
        <w:rPr>
          <w:sz w:val="20"/>
        </w:rPr>
        <w:t>Fire evacuation plan</w:t>
      </w:r>
    </w:p>
    <w:p>
      <w:pPr>
        <w:pStyle w:val="ListBullet"/>
      </w:pPr>
      <w:r>
        <w:rPr>
          <w:sz w:val="20"/>
        </w:rPr>
        <w:t>Emergency contacts displayed</w:t>
      </w:r>
    </w:p>
    <w:p>
      <w:pPr>
        <w:pStyle w:val="ListBullet"/>
      </w:pPr>
      <w:r>
        <w:rPr>
          <w:sz w:val="20"/>
        </w:rPr>
        <w:t>First aid for electrical injuries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Annual safety assessments</w:t>
      </w:r>
    </w:p>
    <w:p>
      <w:pPr>
        <w:pStyle w:val="ListBullet"/>
      </w:pPr>
      <w:r>
        <w:rPr>
          <w:sz w:val="20"/>
        </w:rPr>
        <w:t>PAT testing schedule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Equipment register maintained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