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RA_HO_08 — Stress &amp; Wellbeing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RA_HO_08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Managing work-related stress and promoting mental wellbeing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All work environments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All staff</w:t>
      </w:r>
    </w:p>
    <w:p>
      <w:pPr>
        <w:pStyle w:val="ListBullet"/>
      </w:pPr>
      <w:r>
        <w:rPr>
          <w:sz w:val="20"/>
        </w:rPr>
        <w:t>Particularly: Remote workers, managers, client-facing staff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Work-related stress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EAP service, flexible working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Stress risk assessments, workload reviews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Burnout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Workload monitoring, regular breaks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Mental health first aiders, resilience training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Mental health issues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Support services, open culture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Wellbeing workshops, proactive interventions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Poor work-life balance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Flexible hours, remote working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Right to disconnect, time boundaries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Lack of support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Line manager training, HR support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Mentoring program, peer support groups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Financial worries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Salary advance scheme, EAP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Financial wellbeing support, salary review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Bullying and harassment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Dignity at work policy, reporting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Anonymous reporting, regular surveys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Change fatigue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Change management process, communication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Change champions, feedback loops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pPr>
        <w:pStyle w:val="ListBullet"/>
      </w:pPr>
      <w:r>
        <w:rPr>
          <w:sz w:val="20"/>
        </w:rPr>
        <w:t>Not applicable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Stress awareness</w:t>
      </w:r>
    </w:p>
    <w:p>
      <w:pPr>
        <w:pStyle w:val="ListBullet"/>
      </w:pPr>
      <w:r>
        <w:rPr>
          <w:sz w:val="20"/>
        </w:rPr>
        <w:t>Mental health first aid</w:t>
      </w:r>
    </w:p>
    <w:p>
      <w:pPr>
        <w:pStyle w:val="ListBullet"/>
      </w:pPr>
      <w:r>
        <w:rPr>
          <w:sz w:val="20"/>
        </w:rPr>
        <w:t>Resilience building</w:t>
      </w:r>
    </w:p>
    <w:p>
      <w:pPr>
        <w:pStyle w:val="ListBullet"/>
      </w:pPr>
      <w:r>
        <w:rPr>
          <w:sz w:val="20"/>
        </w:rPr>
        <w:t>Manager training</w:t>
      </w:r>
    </w:p>
    <w:p>
      <w:pPr>
        <w:pStyle w:val="ListBullet"/>
      </w:pPr>
      <w:r>
        <w:rPr>
          <w:sz w:val="20"/>
        </w:rPr>
        <w:t>EAP service awareness</w:t>
      </w:r>
    </w:p>
    <w:p>
      <w:pPr>
        <w:pStyle w:val="ListBullet"/>
      </w:pPr>
      <w:r>
        <w:rPr>
          <w:sz w:val="20"/>
        </w:rPr>
        <w:t>Conflict resolution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Crisis support line</w:t>
      </w:r>
    </w:p>
    <w:p>
      <w:pPr>
        <w:pStyle w:val="ListBullet"/>
      </w:pPr>
      <w:r>
        <w:rPr>
          <w:sz w:val="20"/>
        </w:rPr>
        <w:t>Mental health first aiders</w:t>
      </w:r>
    </w:p>
    <w:p>
      <w:pPr>
        <w:pStyle w:val="ListBullet"/>
      </w:pPr>
      <w:r>
        <w:rPr>
          <w:sz w:val="20"/>
        </w:rPr>
        <w:t>Occupational health referral</w:t>
      </w:r>
    </w:p>
    <w:p>
      <w:pPr>
        <w:pStyle w:val="ListBullet"/>
      </w:pPr>
      <w:r>
        <w:rPr>
          <w:sz w:val="20"/>
        </w:rPr>
        <w:t>Return to work support</w:t>
      </w:r>
    </w:p>
    <w:p>
      <w:pPr>
        <w:pStyle w:val="ListBullet"/>
      </w:pPr>
      <w:r>
        <w:rPr>
          <w:sz w:val="20"/>
        </w:rPr>
        <w:t>External counselling services</w:t>
      </w:r>
    </w:p>
    <w:p>
      <w:pPr>
        <w:pStyle w:val="ListBullet"/>
      </w:pPr>
      <w:r>
        <w:rPr>
          <w:sz w:val="20"/>
        </w:rPr>
        <w:t>Emergency time off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Absence data analysis</w:t>
      </w:r>
    </w:p>
    <w:p>
      <w:pPr>
        <w:pStyle w:val="ListBullet"/>
      </w:pPr>
      <w:r>
        <w:rPr>
          <w:sz w:val="20"/>
        </w:rPr>
        <w:t>Exit interview feedback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