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RA_HO_11 — Display Screen Equipment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RA_HO_11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Use of display screen equipment for work activities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All office and home office locations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office staff</w:t>
      </w:r>
    </w:p>
    <w:p>
      <w:pPr>
        <w:pStyle w:val="ListBullet"/>
      </w:pPr>
      <w:r>
        <w:rPr>
          <w:sz w:val="20"/>
        </w:rPr>
        <w:t>Remote workers</w:t>
      </w:r>
    </w:p>
    <w:p>
      <w:pPr>
        <w:pStyle w:val="ListBullet"/>
      </w:pPr>
      <w:r>
        <w:rPr>
          <w:sz w:val="20"/>
        </w:rPr>
        <w:t>Hot desk users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Eye strain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DSE assessments, eye test vouchers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Break software, screen filters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Headaches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Adjustable equipment, lighting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Enhanced lighting, monitor upgrades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RSI (Repetitive Strain Injury)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Ergonomic equipment,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Voice recognition software, ergonomic mice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Neck/back pain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Adjustable chairs, monitor stands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Standing desk options, posture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Screen glare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Positioning guidance, blinds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Anti-glare screens, desk repositioning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Static postures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Break reminders, stretching guides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Movement prompts, dynamic workstations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Laptop-specific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External peripherals available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Docking stations, mandatory accessories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Psychological stress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Workload management, support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Software training, technical support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Computer glasses (if prescribed)</w:t>
      </w:r>
    </w:p>
    <w:p>
      <w:pPr>
        <w:pStyle w:val="ListBullet"/>
      </w:pPr>
      <w:r>
        <w:rPr>
          <w:sz w:val="20"/>
        </w:rPr>
        <w:t>Wrist supports (if recommended)</w:t>
      </w:r>
    </w:p>
    <w:p>
      <w:pPr>
        <w:pStyle w:val="ListBullet"/>
      </w:pPr>
      <w:r>
        <w:rPr>
          <w:sz w:val="20"/>
        </w:rPr>
        <w:t>Document holders</w:t>
      </w:r>
    </w:p>
    <w:p>
      <w:pPr>
        <w:pStyle w:val="ListBullet"/>
      </w:pPr>
      <w:r>
        <w:rPr>
          <w:sz w:val="20"/>
        </w:rPr>
        <w:t>Footrests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DSE awareness training</w:t>
      </w:r>
    </w:p>
    <w:p>
      <w:pPr>
        <w:pStyle w:val="ListBullet"/>
      </w:pPr>
      <w:r>
        <w:rPr>
          <w:sz w:val="20"/>
        </w:rPr>
        <w:t>Workstation setup</w:t>
      </w:r>
    </w:p>
    <w:p>
      <w:pPr>
        <w:pStyle w:val="ListBullet"/>
      </w:pPr>
      <w:r>
        <w:rPr>
          <w:sz w:val="20"/>
        </w:rPr>
        <w:t>Micro-break importance</w:t>
      </w:r>
    </w:p>
    <w:p>
      <w:pPr>
        <w:pStyle w:val="ListBullet"/>
      </w:pPr>
      <w:r>
        <w:rPr>
          <w:sz w:val="20"/>
        </w:rPr>
        <w:t>Posture awareness</w:t>
      </w:r>
    </w:p>
    <w:p>
      <w:pPr>
        <w:pStyle w:val="ListBullet"/>
      </w:pPr>
      <w:r>
        <w:rPr>
          <w:sz w:val="20"/>
        </w:rPr>
        <w:t>Software shortcuts</w:t>
      </w:r>
    </w:p>
    <w:p>
      <w:pPr>
        <w:pStyle w:val="ListBullet"/>
      </w:pPr>
      <w:r>
        <w:rPr>
          <w:sz w:val="20"/>
        </w:rPr>
        <w:t>Eye care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Occupational health referral</w:t>
      </w:r>
    </w:p>
    <w:p>
      <w:pPr>
        <w:pStyle w:val="ListBullet"/>
      </w:pPr>
      <w:r>
        <w:rPr>
          <w:sz w:val="20"/>
        </w:rPr>
        <w:t>Reasonable adjustments process</w:t>
      </w:r>
    </w:p>
    <w:p>
      <w:pPr>
        <w:pStyle w:val="ListBullet"/>
      </w:pPr>
      <w:r>
        <w:rPr>
          <w:sz w:val="20"/>
        </w:rPr>
        <w:t>Access to Work scheme</w:t>
      </w:r>
    </w:p>
    <w:p>
      <w:pPr>
        <w:pStyle w:val="ListBullet"/>
      </w:pPr>
      <w:r>
        <w:rPr>
          <w:sz w:val="20"/>
        </w:rPr>
        <w:t>Physiotherapy support</w:t>
      </w:r>
    </w:p>
    <w:p>
      <w:pPr>
        <w:pStyle w:val="ListBullet"/>
      </w:pPr>
      <w:r>
        <w:rPr>
          <w:sz w:val="20"/>
        </w:rPr>
        <w:t>Equipment replacement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Annual DSE assessments</w:t>
      </w:r>
    </w:p>
    <w:p>
      <w:pPr>
        <w:pStyle w:val="ListBullet"/>
      </w:pPr>
      <w:r>
        <w:rPr>
          <w:sz w:val="20"/>
        </w:rPr>
        <w:t>Sickness absence tracking</w:t>
      </w:r>
    </w:p>
    <w:p>
      <w:pPr>
        <w:pStyle w:val="ListBullet"/>
      </w:pPr>
      <w:r>
        <w:rPr>
          <w:sz w:val="20"/>
        </w:rPr>
        <w:t>Equipment effectiveness</w:t>
      </w:r>
    </w:p>
    <w:p>
      <w:pPr>
        <w:pStyle w:val="ListBullet"/>
      </w:pPr>
      <w:r>
        <w:rPr>
          <w:sz w:val="20"/>
        </w:rPr>
        <w:t>Training compliance</w:t>
      </w:r>
    </w:p>
    <w:p>
      <w:pPr>
        <w:pStyle w:val="ListBullet"/>
      </w:pPr>
      <w:r>
        <w:rPr>
          <w:sz w:val="20"/>
        </w:rPr>
        <w:t>User feedback</w:t>
      </w:r>
    </w:p>
    <w:p>
      <w:pPr>
        <w:pStyle w:val="ListBullet"/>
      </w:pPr>
      <w:r>
        <w:rPr>
          <w:sz w:val="20"/>
        </w:rPr>
        <w:t>Ergonomic reviews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