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RA_HO_12 — Driving for Work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RA_HO_12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Driving vehicles for business purposes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Public roads, client sites, company premises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Drivers</w:t>
      </w:r>
    </w:p>
    <w:p>
      <w:pPr>
        <w:pStyle w:val="ListBullet"/>
      </w:pPr>
      <w:r>
        <w:rPr>
          <w:sz w:val="20"/>
        </w:rPr>
        <w:t>Passengers</w:t>
      </w:r>
    </w:p>
    <w:p>
      <w:pPr>
        <w:pStyle w:val="ListBullet"/>
      </w:pPr>
      <w:r>
        <w:rPr>
          <w:sz w:val="20"/>
        </w:rPr>
        <w:t>Other road users</w:t>
      </w:r>
    </w:p>
    <w:p>
      <w:pPr>
        <w:pStyle w:val="ListBullet"/>
      </w:pPr>
      <w:r>
        <w:rPr>
          <w:sz w:val="20"/>
        </w:rPr>
        <w:t>Pedestrians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Road traffic accidents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Driving policy, licence checks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Driver assessment scheme, telematics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Driver fatigue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Journey planning, rest breaks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Fatigue management training, overnight stays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Vehicle breakdown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Maintenance schedule, breakdown cover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Pre-use checks, vehicle tracking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Adverse weather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Weather monitoring, flexible travel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Winter driving training, emergency kits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Mobile phone distraction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Hands-free policy, disciplinary action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Phone blocking technology, safe stop procedure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Medical fitness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Health declarations, eyesight checks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Regular health screening, medication review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Aggressive drivers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De-escalation training, reporting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Dash cameras, incident protocols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Loading/unloading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Manual handling training, PPE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Loading aids, designated areas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High visibility vest</w:t>
      </w:r>
    </w:p>
    <w:p>
      <w:pPr>
        <w:pStyle w:val="ListBullet"/>
      </w:pPr>
      <w:r>
        <w:rPr>
          <w:sz w:val="20"/>
        </w:rPr>
        <w:t>Safety footwear (site visits)</w:t>
      </w:r>
    </w:p>
    <w:p>
      <w:pPr>
        <w:pStyle w:val="ListBullet"/>
      </w:pPr>
      <w:r>
        <w:rPr>
          <w:sz w:val="20"/>
        </w:rPr>
        <w:t>Weather appropriate clothing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Defensive driving</w:t>
      </w:r>
    </w:p>
    <w:p>
      <w:pPr>
        <w:pStyle w:val="ListBullet"/>
      </w:pPr>
      <w:r>
        <w:rPr>
          <w:sz w:val="20"/>
        </w:rPr>
        <w:t>Vehicle checks</w:t>
      </w:r>
    </w:p>
    <w:p>
      <w:pPr>
        <w:pStyle w:val="ListBullet"/>
      </w:pPr>
      <w:r>
        <w:rPr>
          <w:sz w:val="20"/>
        </w:rPr>
        <w:t>Incident reporting</w:t>
      </w:r>
    </w:p>
    <w:p>
      <w:pPr>
        <w:pStyle w:val="ListBullet"/>
      </w:pPr>
      <w:r>
        <w:rPr>
          <w:sz w:val="20"/>
        </w:rPr>
        <w:t>Journey planning</w:t>
      </w:r>
    </w:p>
    <w:p>
      <w:pPr>
        <w:pStyle w:val="ListBullet"/>
      </w:pPr>
      <w:r>
        <w:rPr>
          <w:sz w:val="20"/>
        </w:rPr>
        <w:t>Emergency procedures</w:t>
      </w:r>
    </w:p>
    <w:p>
      <w:pPr>
        <w:pStyle w:val="ListBullet"/>
      </w:pPr>
      <w:r>
        <w:rPr>
          <w:sz w:val="20"/>
        </w:rPr>
        <w:t>First aid awareness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Accident response protocol</w:t>
      </w:r>
    </w:p>
    <w:p>
      <w:pPr>
        <w:pStyle w:val="ListBullet"/>
      </w:pPr>
      <w:r>
        <w:rPr>
          <w:sz w:val="20"/>
        </w:rPr>
        <w:t>Breakdown procedures</w:t>
      </w:r>
    </w:p>
    <w:p>
      <w:pPr>
        <w:pStyle w:val="ListBullet"/>
      </w:pPr>
      <w:r>
        <w:rPr>
          <w:sz w:val="20"/>
        </w:rPr>
        <w:t>Emergency contact list</w:t>
      </w:r>
    </w:p>
    <w:p>
      <w:pPr>
        <w:pStyle w:val="ListBullet"/>
      </w:pPr>
      <w:r>
        <w:rPr>
          <w:sz w:val="20"/>
        </w:rPr>
        <w:t>Insurance procedures</w:t>
      </w:r>
    </w:p>
    <w:p>
      <w:pPr>
        <w:pStyle w:val="ListBullet"/>
      </w:pPr>
      <w:r>
        <w:rPr>
          <w:sz w:val="20"/>
        </w:rPr>
        <w:t>Vehicle recovery</w:t>
      </w:r>
    </w:p>
    <w:p>
      <w:pPr>
        <w:pStyle w:val="ListBullet"/>
      </w:pPr>
      <w:r>
        <w:rPr>
          <w:sz w:val="20"/>
        </w:rPr>
        <w:t>Medical emergency response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Licence checks (6-monthly)</w:t>
      </w:r>
    </w:p>
    <w:p>
      <w:pPr>
        <w:pStyle w:val="ListBullet"/>
      </w:pPr>
      <w:r>
        <w:rPr>
          <w:sz w:val="20"/>
        </w:rPr>
        <w:t>Vehicle inspections</w:t>
      </w:r>
    </w:p>
    <w:p>
      <w:pPr>
        <w:pStyle w:val="ListBullet"/>
      </w:pPr>
      <w:r>
        <w:rPr>
          <w:sz w:val="20"/>
        </w:rPr>
        <w:t>Incident analysis</w:t>
      </w:r>
    </w:p>
    <w:p>
      <w:pPr>
        <w:pStyle w:val="ListBullet"/>
      </w:pPr>
      <w:r>
        <w:rPr>
          <w:sz w:val="20"/>
        </w:rPr>
        <w:t>Fuel/mileage tracking</w:t>
      </w:r>
    </w:p>
    <w:p>
      <w:pPr>
        <w:pStyle w:val="ListBullet"/>
      </w:pPr>
      <w:r>
        <w:rPr>
          <w:sz w:val="20"/>
        </w:rPr>
        <w:t>Insurance claims</w:t>
      </w:r>
    </w:p>
    <w:p>
      <w:pPr>
        <w:pStyle w:val="ListBullet"/>
      </w:pPr>
      <w:r>
        <w:rPr>
          <w:sz w:val="20"/>
        </w:rPr>
        <w:t>Driver hours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