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RA_HO_14 — Environmental Impact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RA_HO_14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Managing environmental impacts of business operations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operational locations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Local environment</w:t>
      </w:r>
    </w:p>
    <w:p>
      <w:pPr>
        <w:pStyle w:val="ListBullet"/>
      </w:pPr>
      <w:r>
        <w:rPr>
          <w:sz w:val="20"/>
        </w:rPr>
        <w:t>Wildlife</w:t>
      </w:r>
    </w:p>
    <w:p>
      <w:pPr>
        <w:pStyle w:val="ListBullet"/>
      </w:pPr>
      <w:r>
        <w:rPr>
          <w:sz w:val="20"/>
        </w:rPr>
        <w:t>Local community</w:t>
      </w:r>
    </w:p>
    <w:p>
      <w:pPr>
        <w:pStyle w:val="ListBullet"/>
      </w:pPr>
      <w:r>
        <w:rPr>
          <w:sz w:val="20"/>
        </w:rPr>
        <w:t>Future generations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Energy waste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Switch-off policy, LED lighting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Solar panels, smart controls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Poor recycling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Recycling bins, waste segregation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programme, zero to landfill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Carbon footprint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Energy monitoring, efficient vehicles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Carbon tracking, offset programme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Resource depletion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Purchasing policy, reuse initiatives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Circular economy approach, suppliers audit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Water wastage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Monitoring, leak detection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Water saving devices, rainwater harvesting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Paper consumption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Digital first policy, duplex printing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Paperless systems, print monitoring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Chemical storage/spillage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Bunding, spill kits, COSHH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Secondary containment, regular drills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Noise pollution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Working hours, equipment selection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Acoustic barriers, monitoring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Spillage kit PPE</w:t>
      </w:r>
    </w:p>
    <w:p>
      <w:pPr>
        <w:pStyle w:val="ListBullet"/>
      </w:pPr>
      <w:r>
        <w:rPr>
          <w:sz w:val="20"/>
        </w:rPr>
        <w:t>Waste handling gloves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Environmental awareness</w:t>
      </w:r>
    </w:p>
    <w:p>
      <w:pPr>
        <w:pStyle w:val="ListBullet"/>
      </w:pPr>
      <w:r>
        <w:rPr>
          <w:sz w:val="20"/>
        </w:rPr>
        <w:t>Waste management</w:t>
      </w:r>
    </w:p>
    <w:p>
      <w:pPr>
        <w:pStyle w:val="ListBullet"/>
      </w:pPr>
      <w:r>
        <w:rPr>
          <w:sz w:val="20"/>
        </w:rPr>
        <w:t>Energy efficiency</w:t>
      </w:r>
    </w:p>
    <w:p>
      <w:pPr>
        <w:pStyle w:val="ListBullet"/>
      </w:pPr>
      <w:r>
        <w:rPr>
          <w:sz w:val="20"/>
        </w:rPr>
        <w:t>Spillage response</w:t>
      </w:r>
    </w:p>
    <w:p>
      <w:pPr>
        <w:pStyle w:val="ListBullet"/>
      </w:pPr>
      <w:r>
        <w:rPr>
          <w:sz w:val="20"/>
        </w:rPr>
        <w:t>Sustainability practices</w:t>
      </w:r>
    </w:p>
    <w:p>
      <w:pPr>
        <w:pStyle w:val="ListBullet"/>
      </w:pPr>
      <w:r>
        <w:rPr>
          <w:sz w:val="20"/>
        </w:rPr>
        <w:t>ISO 14001 awareness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Environmental incident response</w:t>
      </w:r>
    </w:p>
    <w:p>
      <w:pPr>
        <w:pStyle w:val="ListBullet"/>
      </w:pPr>
      <w:r>
        <w:rPr>
          <w:sz w:val="20"/>
        </w:rPr>
        <w:t>Spillage containment</w:t>
      </w:r>
    </w:p>
    <w:p>
      <w:pPr>
        <w:pStyle w:val="ListBullet"/>
      </w:pPr>
      <w:r>
        <w:rPr>
          <w:sz w:val="20"/>
        </w:rPr>
        <w:t>Regulatory notification</w:t>
      </w:r>
    </w:p>
    <w:p>
      <w:pPr>
        <w:pStyle w:val="ListBullet"/>
      </w:pPr>
      <w:r>
        <w:rPr>
          <w:sz w:val="20"/>
        </w:rPr>
        <w:t>Clean-up procedures</w:t>
      </w:r>
    </w:p>
    <w:p>
      <w:pPr>
        <w:pStyle w:val="ListBullet"/>
      </w:pPr>
      <w:r>
        <w:rPr>
          <w:sz w:val="20"/>
        </w:rPr>
        <w:t>Investigation process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Energy consumption tracking</w:t>
      </w:r>
    </w:p>
    <w:p>
      <w:pPr>
        <w:pStyle w:val="ListBullet"/>
      </w:pPr>
      <w:r>
        <w:rPr>
          <w:sz w:val="20"/>
        </w:rPr>
        <w:t>Waste audit data</w:t>
      </w:r>
    </w:p>
    <w:p>
      <w:pPr>
        <w:pStyle w:val="ListBullet"/>
      </w:pPr>
      <w:r>
        <w:rPr>
          <w:sz w:val="20"/>
        </w:rPr>
        <w:t>Recycling rates</w:t>
      </w:r>
    </w:p>
    <w:p>
      <w:pPr>
        <w:pStyle w:val="ListBullet"/>
      </w:pPr>
      <w:r>
        <w:rPr>
          <w:sz w:val="20"/>
        </w:rPr>
        <w:t>Carbon footprint calculation</w:t>
      </w:r>
    </w:p>
    <w:p>
      <w:pPr>
        <w:pStyle w:val="ListBullet"/>
      </w:pPr>
      <w:r>
        <w:rPr>
          <w:sz w:val="20"/>
        </w:rPr>
        <w:t>Environmental objectives</w:t>
      </w:r>
    </w:p>
    <w:p>
      <w:pPr>
        <w:pStyle w:val="ListBullet"/>
      </w:pPr>
      <w:r>
        <w:rPr>
          <w:sz w:val="20"/>
        </w:rPr>
        <w:t>Compliance audits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