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1E3A5F"/>
          <w:sz w:val="40"/>
        </w:rPr>
        <w:t>RA_HO_18 — Fatigue Management</w:t>
      </w:r>
    </w:p>
    <w:p>
      <w:r>
        <w:rPr>
          <w:color w:val="555555"/>
          <w:sz w:val="20"/>
        </w:rPr>
        <w:t>A M Water Services Ltd — Risk Assessment</w:t>
      </w:r>
    </w:p>
    <w:p/>
    <w:p>
      <w:pPr>
        <w:pStyle w:val="Heading2"/>
      </w:pPr>
      <w:r>
        <w:rPr>
          <w:color w:val="1E3A5F"/>
        </w:rPr>
        <w:t>Document Information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rPr>
                <w:b/>
                <w:sz w:val="20"/>
              </w:rPr>
              <w:t>Document Reference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RA_HO_18</w:t>
            </w:r>
          </w:p>
        </w:tc>
      </w:tr>
      <w:tr>
        <w:tc>
          <w:tcPr>
            <w:tcW w:type="dxa" w:w="4986"/>
          </w:tcPr>
          <w:p>
            <w:r>
              <w:rPr>
                <w:b/>
                <w:sz w:val="20"/>
              </w:rPr>
              <w:t>Issue Date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04/05/2026</w:t>
            </w:r>
          </w:p>
        </w:tc>
      </w:tr>
      <w:tr>
        <w:tc>
          <w:tcPr>
            <w:tcW w:type="dxa" w:w="4986"/>
          </w:tcPr>
          <w:p>
            <w:r>
              <w:rPr>
                <w:b/>
                <w:sz w:val="20"/>
              </w:rPr>
              <w:t>Next Review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04/05/2027</w:t>
            </w:r>
          </w:p>
        </w:tc>
      </w:tr>
      <w:tr>
        <w:tc>
          <w:tcPr>
            <w:tcW w:type="dxa" w:w="4986"/>
          </w:tcPr>
          <w:p>
            <w:r>
              <w:rPr>
                <w:b/>
                <w:sz w:val="20"/>
              </w:rPr>
              <w:t>Assessed By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Sean Ashton (HSQE Consultant)</w:t>
            </w:r>
          </w:p>
        </w:tc>
      </w:tr>
      <w:tr>
        <w:tc>
          <w:tcPr>
            <w:tcW w:type="dxa" w:w="4986"/>
          </w:tcPr>
          <w:p>
            <w:r>
              <w:rPr>
                <w:b/>
                <w:sz w:val="20"/>
              </w:rPr>
              <w:t>Approved By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Aaron Mason, Director</w:t>
            </w:r>
          </w:p>
        </w:tc>
      </w:tr>
      <w:tr>
        <w:tc>
          <w:tcPr>
            <w:tcW w:type="dxa" w:w="4986"/>
          </w:tcPr>
          <w:p>
            <w:r>
              <w:rPr>
                <w:b/>
                <w:sz w:val="20"/>
              </w:rPr>
              <w:t>Classification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Controlled</w:t>
            </w:r>
          </w:p>
        </w:tc>
      </w:tr>
    </w:tbl>
    <w:p/>
    <w:p>
      <w:pPr>
        <w:pStyle w:val="Heading2"/>
      </w:pPr>
      <w:r>
        <w:rPr>
          <w:color w:val="1E3A5F"/>
        </w:rPr>
        <w:t>Task/Activity</w:t>
      </w:r>
    </w:p>
    <w:p>
      <w:r>
        <w:rPr>
          <w:sz w:val="20"/>
        </w:rPr>
        <w:t>Work-related fatigue arising across AMWS operations: long driving days to sites, overnight stays, emergency call-outs, end-of-shift physical work, and the interaction between long days and high-vibration tool use.</w:t>
      </w:r>
    </w:p>
    <w:p>
      <w:pPr>
        <w:pStyle w:val="Heading2"/>
      </w:pPr>
      <w:r>
        <w:rPr>
          <w:color w:val="1E3A5F"/>
        </w:rPr>
        <w:t>Location</w:t>
      </w:r>
    </w:p>
    <w:p>
      <w:r>
        <w:rPr>
          <w:sz w:val="20"/>
        </w:rPr>
        <w:t>All AMWS work locations — yard, road, site, overnight accommodation.</w:t>
      </w:r>
    </w:p>
    <w:p>
      <w:pPr>
        <w:pStyle w:val="Heading2"/>
      </w:pPr>
      <w:r>
        <w:rPr>
          <w:color w:val="1E3A5F"/>
        </w:rPr>
        <w:t>Persons at Risk</w:t>
      </w:r>
    </w:p>
    <w:p>
      <w:pPr>
        <w:pStyle w:val="ListBullet"/>
      </w:pPr>
      <w:r>
        <w:rPr>
          <w:sz w:val="20"/>
        </w:rPr>
        <w:t>All operatives (especially those on emergency call-out rotation)</w:t>
      </w:r>
    </w:p>
    <w:p>
      <w:pPr>
        <w:pStyle w:val="ListBullet"/>
      </w:pPr>
      <w:r>
        <w:rPr>
          <w:sz w:val="20"/>
        </w:rPr>
        <w:t>Drivers (HGV grab and van fleet)</w:t>
      </w:r>
    </w:p>
    <w:p>
      <w:pPr>
        <w:pStyle w:val="ListBullet"/>
      </w:pPr>
      <w:r>
        <w:rPr>
          <w:sz w:val="20"/>
        </w:rPr>
        <w:t>Site Supervisor and Team Leaders (extended decision-making days)</w:t>
      </w:r>
    </w:p>
    <w:p>
      <w:pPr>
        <w:pStyle w:val="ListBullet"/>
      </w:pPr>
      <w:r>
        <w:rPr>
          <w:sz w:val="20"/>
        </w:rPr>
        <w:t>Lone workers performing late-finish or early-start jobs</w:t>
      </w:r>
    </w:p>
    <w:p>
      <w:pPr>
        <w:pStyle w:val="Heading2"/>
      </w:pPr>
      <w:r>
        <w:rPr>
          <w:color w:val="1E3A5F"/>
        </w:rPr>
        <w:t>Hazards and Controls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108"/>
        <w:gridCol w:w="1108"/>
        <w:gridCol w:w="1108"/>
        <w:gridCol w:w="1108"/>
        <w:gridCol w:w="1108"/>
        <w:gridCol w:w="1108"/>
        <w:gridCol w:w="1108"/>
        <w:gridCol w:w="1108"/>
        <w:gridCol w:w="1108"/>
      </w:tblGrid>
      <w:tr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Hazard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Existing Controls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S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L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R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Additional Controls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S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L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R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Driver fatigue → road traffic accident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Drivers' hours rules observed; in-cab telematics; SOP 8.13 Driving; mobile phone hands-free policy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🔴 12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Mandatory 11-hr daily rest; max 9-hr driving day except emergency; weekly hours review by Aaron Mason; refresher driver-fatigue training in TBT-2026-09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3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Cumulative fatigue from emergency call-out rotation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On-call rota across multiple operatives; emergency call-outs logged; SOP 5.4 Emergency Preparedness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🟡 9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Maximum 1-in-4 on-call frequency; rest day after a &gt;4-hr night call-out; rota visibility on whatsapp works group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4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Fatigue interaction with HAVS exposure (long day + high-vibration tool)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SOP 8.10 HAVS; trigger-time monitoring; rotation between operatives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🟡 9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Cap trigger time at 75% of EAV (1.9 m/s² A(8)) on days &gt;10 hrs on site; mandatory rotation after 60 min continuous breaker work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2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Cognitive fatigue → near-miss / poor decision (excavation, confined space)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RAMS sign-off; toolbox talks; supervisor presence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🟡 8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Permit-to-work issuer must be at start of shift, not 8 hours in; high-risk activities not to start within last hour of shift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3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Lone-worker fatigue (no buddy for early-start / late-finish)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SOP 8.8 Lone Working; check-in protocol; RA_HO_04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🟡 6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Buddy check-in mandatory for shifts &gt;10 hrs or starting before 06:00; fatigue self-assessment at start of solo shift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2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Overnight accommodation poor rest → next-day fatigue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Pre-booked accommodation; meal allowance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🟡 6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Use only Travelodge / Premier Inn standard or above; no twin-share for overnight call-out rotation; no &gt;2 consecutive nights away without rest day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4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Manager fatigue (Site Supervisor extended decision days)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Working hours informally tracked; weekly compliance call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🟡 6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Aaron Mason to monitor Jason May's working hours weekly; deputise to a Team Leader when supervisor day exceeds 11 hours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2</w:t>
            </w:r>
          </w:p>
        </w:tc>
      </w:tr>
    </w:tbl>
    <w:p/>
    <w:p>
      <w:pPr>
        <w:pStyle w:val="Heading2"/>
      </w:pPr>
      <w:r>
        <w:rPr>
          <w:color w:val="1E3A5F"/>
        </w:rPr>
        <w:t>PPE &amp; Equipment Requirements</w:t>
      </w:r>
    </w:p>
    <w:p>
      <w:pPr>
        <w:pStyle w:val="ListBullet"/>
      </w:pPr>
      <w:r>
        <w:rPr>
          <w:sz w:val="20"/>
        </w:rPr>
        <w:t>Telematics in all fleet vehicles (already standard)</w:t>
      </w:r>
    </w:p>
    <w:p>
      <w:pPr>
        <w:pStyle w:val="ListBullet"/>
      </w:pPr>
      <w:r>
        <w:rPr>
          <w:sz w:val="20"/>
        </w:rPr>
        <w:t>In-vehicle break reminders configured</w:t>
      </w:r>
    </w:p>
    <w:p>
      <w:pPr>
        <w:pStyle w:val="ListBullet"/>
      </w:pPr>
      <w:r>
        <w:rPr>
          <w:sz w:val="20"/>
        </w:rPr>
        <w:t>Lone-worker check-in app (Reflex / equivalent) issued to operatives on early-start / late-finish rotation</w:t>
      </w:r>
    </w:p>
    <w:p>
      <w:pPr>
        <w:pStyle w:val="Heading2"/>
      </w:pPr>
      <w:r>
        <w:rPr>
          <w:color w:val="1E3A5F"/>
        </w:rPr>
        <w:t>Training Requirements</w:t>
      </w:r>
    </w:p>
    <w:p>
      <w:pPr>
        <w:pStyle w:val="ListBullet"/>
      </w:pPr>
      <w:r>
        <w:rPr>
          <w:sz w:val="20"/>
        </w:rPr>
        <w:t>Driver fatigue awareness — Toolbox talk TBT-2026-09 (Sept 2026) plus annual refresher</w:t>
      </w:r>
    </w:p>
    <w:p>
      <w:pPr>
        <w:pStyle w:val="ListBullet"/>
      </w:pPr>
      <w:r>
        <w:rPr>
          <w:sz w:val="20"/>
        </w:rPr>
        <w:t>HAVS awareness — Toolbox talk TBT-2026-06 (June 2026) with explicit fatigue interaction</w:t>
      </w:r>
    </w:p>
    <w:p>
      <w:pPr>
        <w:pStyle w:val="ListBullet"/>
      </w:pPr>
      <w:r>
        <w:rPr>
          <w:sz w:val="20"/>
        </w:rPr>
        <w:t>Lone-working briefing — Toolbox talk TBT-2026-11 (Nov 2026)</w:t>
      </w:r>
    </w:p>
    <w:p>
      <w:pPr>
        <w:pStyle w:val="Heading2"/>
      </w:pPr>
      <w:r>
        <w:rPr>
          <w:color w:val="1E3A5F"/>
        </w:rPr>
        <w:t>Emergency Procedures</w:t>
      </w:r>
    </w:p>
    <w:p>
      <w:pPr>
        <w:pStyle w:val="ListBullet"/>
      </w:pPr>
      <w:r>
        <w:rPr>
          <w:sz w:val="20"/>
        </w:rPr>
        <w:t>Driver suffering fatigue while driving: pull over to the next safe stopping place; notify Site Supervisor; do not continue. Cover arranged.</w:t>
      </w:r>
    </w:p>
    <w:p>
      <w:pPr>
        <w:pStyle w:val="ListBullet"/>
      </w:pPr>
      <w:r>
        <w:rPr>
          <w:sz w:val="20"/>
        </w:rPr>
        <w:t>Site fatigue concern: Site Supervisor stops work, returns operatives to yard or arranges rest break, decides whether to continue.</w:t>
      </w:r>
    </w:p>
    <w:p>
      <w:pPr>
        <w:pStyle w:val="Heading2"/>
      </w:pPr>
      <w:r>
        <w:rPr>
          <w:color w:val="1E3A5F"/>
        </w:rPr>
        <w:t>Monitoring &amp; Review</w:t>
      </w:r>
    </w:p>
    <w:p>
      <w:pPr>
        <w:pStyle w:val="ListBullet"/>
      </w:pPr>
      <w:r>
        <w:rPr>
          <w:sz w:val="20"/>
        </w:rPr>
        <w:t>Weekly: Aaron Mason reviews drivers' hours from telematics</w:t>
      </w:r>
    </w:p>
    <w:p>
      <w:pPr>
        <w:pStyle w:val="ListBullet"/>
      </w:pPr>
      <w:r>
        <w:rPr>
          <w:sz w:val="20"/>
        </w:rPr>
        <w:t>Monthly: Site Supervisor reviews on-call rotation balance</w:t>
      </w:r>
    </w:p>
    <w:p>
      <w:pPr>
        <w:pStyle w:val="ListBullet"/>
      </w:pPr>
      <w:r>
        <w:rPr>
          <w:sz w:val="20"/>
        </w:rPr>
        <w:t>Quarterly: HSQE Consultant reviews this RA against any near-miss / fatigue-attributed incidents from APP_22</w:t>
      </w:r>
    </w:p>
    <w:p>
      <w:pPr>
        <w:pStyle w:val="ListBullet"/>
      </w:pPr>
      <w:r>
        <w:rPr>
          <w:sz w:val="20"/>
        </w:rPr>
        <w:t>Annual: Full RA review — by 04/05/2027</w:t>
      </w:r>
    </w:p>
    <w:p>
      <w:pPr>
        <w:pStyle w:val="Heading2"/>
      </w:pPr>
      <w:r>
        <w:rPr>
          <w:color w:val="1E3A5F"/>
        </w:rPr>
        <w:t>Related Documents</w:t>
      </w:r>
    </w:p>
    <w:p>
      <w:pPr>
        <w:pStyle w:val="ListBullet"/>
      </w:pPr>
      <w:r>
        <w:rPr>
          <w:sz w:val="20"/>
        </w:rPr>
        <w:t>SOP 8.13 — Driving</w:t>
      </w:r>
    </w:p>
    <w:p>
      <w:pPr>
        <w:pStyle w:val="ListBullet"/>
      </w:pPr>
      <w:r>
        <w:rPr>
          <w:sz w:val="20"/>
        </w:rPr>
        <w:t>SOP 8.10 — HAVS</w:t>
      </w:r>
    </w:p>
    <w:p>
      <w:pPr>
        <w:pStyle w:val="ListBullet"/>
      </w:pPr>
      <w:r>
        <w:rPr>
          <w:sz w:val="20"/>
        </w:rPr>
        <w:t>SOP 8.8 — Lone Working</w:t>
      </w:r>
    </w:p>
    <w:p>
      <w:pPr>
        <w:pStyle w:val="ListBullet"/>
      </w:pPr>
      <w:r>
        <w:rPr>
          <w:sz w:val="20"/>
        </w:rPr>
        <w:t>SOP 5.4 — Emergency Preparedness</w:t>
      </w:r>
    </w:p>
    <w:p>
      <w:pPr>
        <w:pStyle w:val="ListBullet"/>
      </w:pPr>
      <w:r>
        <w:rPr>
          <w:sz w:val="20"/>
        </w:rPr>
        <w:t>APP_07 — Hazard Identification (HO-18 row)</w:t>
      </w:r>
    </w:p>
    <w:p>
      <w:pPr>
        <w:pStyle w:val="ListBullet"/>
      </w:pPr>
      <w:r>
        <w:rPr>
          <w:sz w:val="20"/>
        </w:rPr>
        <w:t>POL_HSQE_25 — Use of Company Vehicles</w:t>
      </w:r>
    </w:p>
    <w:p>
      <w:pPr>
        <w:pStyle w:val="ListBullet"/>
      </w:pPr>
      <w:r>
        <w:rPr>
          <w:sz w:val="20"/>
        </w:rPr>
        <w:t>POL_HSQE_26 — Welfare</w:t>
      </w:r>
    </w:p>
    <w:p>
      <w:pPr>
        <w:pStyle w:val="Heading3"/>
      </w:pPr>
      <w:r>
        <w:rPr>
          <w:color w:val="1E3A5F"/>
        </w:rPr>
        <w:t>Risk Scoring Matrix (4 × 4)</w:t>
      </w:r>
    </w:p>
    <w:p>
      <w:pPr>
        <w:pStyle w:val="ListBullet"/>
      </w:pPr>
      <w:r>
        <w:rPr>
          <w:sz w:val="20"/>
        </w:rPr>
        <w:t>Severity (S): 1 = Negligible · 2 = Minor · 3 = Serious · 4 = Catastrophic</w:t>
      </w:r>
    </w:p>
    <w:p>
      <w:pPr>
        <w:pStyle w:val="ListBullet"/>
      </w:pPr>
      <w:r>
        <w:rPr>
          <w:sz w:val="20"/>
        </w:rPr>
        <w:t>Likelihood (L): 1 = Remote · 2 = Unlikely · 3 = Likely · 4 = Almost Certain</w:t>
      </w:r>
    </w:p>
    <w:p>
      <w:pPr>
        <w:pStyle w:val="ListBullet"/>
      </w:pPr>
      <w:r>
        <w:rPr>
          <w:sz w:val="20"/>
        </w:rPr>
        <w:t>Risk Rating (R = S × L): 🟢 Low (1-5) · 🟡 Medium (6-11) · 🔴 High (12-16)</w:t>
      </w:r>
    </w:p>
    <w:p>
      <w:r>
        <w:rPr>
          <w:sz w:val="20"/>
        </w:rPr>
        <w:t>This RA uses the same 4 × 4 matrix applied across APP_07, APP_08 and all sister RAs for auditor consistency.</w:t>
      </w:r>
    </w:p>
    <w:p/>
    <w:p>
      <w:r>
        <w:rPr>
          <w:i/>
          <w:color w:val="555555"/>
          <w:sz w:val="18"/>
        </w:rPr>
        <w:t>This document forms part of A M Water Services Limited's Integrated Management System. Paper copies are uncontrolled when printed.</w:t>
      </w:r>
    </w:p>
    <w:sectPr w:rsidR="00FC693F" w:rsidRPr="0006063C" w:rsidSect="00034616">
      <w:headerReference w:type="default" r:id="rId9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drawing>
        <wp:inline xmlns:a="http://schemas.openxmlformats.org/drawingml/2006/main" xmlns:pic="http://schemas.openxmlformats.org/drawingml/2006/picture">
          <wp:extent cx="1435608" cy="546388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5608" cy="546388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