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Chlorinated Spray &amp; Wipe (Greyland)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COSHH_04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sds/SDS-62-18-Chlorinated-Spray-Wipe-Greyland-v8.pdf (PDF carried alongside this assessment).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Chlorinated Spray &amp; Wipe (Greyland)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Greyland Ltd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Sodium hypochlorite (&lt; 5%)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7681-52-9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Liquid spray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Clear/pale yellow liquid, chlorine odour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Disinfection of water systems, equipment and surfaces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Skin Corrosive Category 1B, Aquatic Acute 1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severe skin burns and eye damage.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H410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Very toxic to aquatic life with long lasting effects.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EUH031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Contact with acids liberates toxic gas.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breathe dust/fume/gas/mist/vapours/spray.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P301+330+331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SWALLOWED: Rinse mouth. Do NOT induce vomiting.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P303+361+353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ON SKIN (or hair): Take off immediately all contaminated clothing. Rinse skin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P305+351+338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IN EYES: Rinse cautiously with water for several minutes. Remove contact lenses, if present and easy to do. Continue rinsing.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Immediately call a POISON CENTRE or doctor/physician.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P405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Store locked up.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GHS05: </w:t>
      </w:r>
      <w:r>
        <w:rPr>
          <w:rFonts w:ascii="Arial" w:hAnsi="Arial"/>
          <w:b w:val="0"/>
          <w:sz w:val="22"/>
        </w:rPr>
        <w:t>Corrosive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GHS09: </w:t>
      </w:r>
      <w:r>
        <w:rPr>
          <w:rFonts w:ascii="Arial" w:hAnsi="Arial"/>
          <w:b w:val="0"/>
          <w:sz w:val="22"/>
        </w:rPr>
        <w:t>Environmental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Water-treatment operatives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Maintenance staff</w:t>
      </w:r>
    </w:p>
    <w:p>
      <w:pPr>
        <w:pStyle w:val="ListBullet"/>
      </w:pPr>
      <w:r>
        <w:rPr>
          <w:rFonts w:ascii="Arial" w:hAnsi="Arial"/>
          <w:b w:val="0"/>
          <w:sz w:val="22"/>
        </w:rPr>
        <w:t>Cleaning personnel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Vapour causes respiratory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Severe burns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Severe damage — risk of blindness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Severe corrosive effects on digestive tract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Substance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8-hr TWA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15-min STEL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Chlorine (released)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0.5 ppm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1 ppm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in well-ventilated areas</w:t>
      </w:r>
    </w:p>
    <w:p>
      <w:pPr>
        <w:pStyle w:val="ListBullet"/>
      </w:pPr>
      <w:r>
        <w:rPr>
          <w:rFonts w:ascii="Arial" w:hAnsi="Arial"/>
          <w:b w:val="0"/>
          <w:sz w:val="22"/>
        </w:rPr>
        <w:t>Eyewash station and safety shower within 10 m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in bunded area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Never mix with acids or other chemicals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minimum quantity required</w:t>
      </w:r>
    </w:p>
    <w:p>
      <w:pPr>
        <w:pStyle w:val="ListBullet"/>
      </w:pPr>
      <w:r>
        <w:rPr>
          <w:rFonts w:ascii="Arial" w:hAnsi="Arial"/>
          <w:b w:val="0"/>
          <w:sz w:val="22"/>
        </w:rPr>
        <w:t>Restricted-access storage</w:t>
      </w:r>
    </w:p>
    <w:p>
      <w:pPr>
        <w:pStyle w:val="ListBullet"/>
      </w:pPr>
      <w:r>
        <w:rPr>
          <w:rFonts w:ascii="Arial" w:hAnsi="Arial"/>
          <w:b w:val="0"/>
          <w:sz w:val="22"/>
        </w:rPr>
        <w:t>Labelled spray bottles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PVC or nitrile chemical-resistant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Chemical safety goggles</w:t>
      </w:r>
    </w:p>
    <w:p>
      <w:pPr>
        <w:pStyle w:val="ListBullet"/>
      </w:pPr>
      <w:r>
        <w:rPr>
          <w:rFonts w:ascii="Arial" w:hAnsi="Arial"/>
          <w:b w:val="0"/>
          <w:sz w:val="22"/>
        </w:rPr>
        <w:t>Face shield when decanting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Chemical-resistant apron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5–25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Cool, ventilated area away from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Acids, ammonia, metals, organics, heat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sealed container — do not decant into unlabelled bottles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at least 15 minutes, holding eyelids apart. Seek immediate medical attention.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Remove contaminated clothing. Wash with plenty of water for 15 minutes. Seek medical attention.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 Seek medical attention if symptoms persist.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induce vomiting. Rinse mouth. Give small sips of water if conscious. Seek immediate medical attention.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Evacuate area. PPE as above. Dilute with water. Absorb with inert material. Neutralise with sodium thiosulphate if available. Dispose as hazardous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Not flammable but releases toxic fumes (Cl₂) in fire. Use water spray to cool containers.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Hazardous waste. Dispose via authorised chemical-waste contractor. EWC code 20 01 29* (detergents containing hazardous substances).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High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COSHH briefing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Spill and emergency procedures</w:t>
      </w:r>
    </w:p>
    <w:p>
      <w:pPr>
        <w:pStyle w:val="ListBullet"/>
      </w:pPr>
      <w:r>
        <w:rPr>
          <w:rFonts w:ascii="Arial" w:hAnsi="Arial"/>
          <w:b w:val="0"/>
          <w:sz w:val="22"/>
        </w:rPr>
        <w:t>Decanting safely</w:t>
      </w:r>
    </w:p>
    <w:p>
      <w:pPr>
        <w:pStyle w:val="ListBullet"/>
      </w:pPr>
      <w:r>
        <w:rPr>
          <w:rFonts w:ascii="Arial" w:hAnsi="Arial"/>
          <w:b w:val="0"/>
          <w:sz w:val="22"/>
        </w:rPr>
        <w:t>Fire awareness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Weekly visual check of storage area</w:t>
      </w:r>
    </w:p>
    <w:p>
      <w:pPr>
        <w:pStyle w:val="ListBullet"/>
      </w:pPr>
      <w:r>
        <w:rPr>
          <w:rFonts w:ascii="Arial" w:hAnsi="Arial"/>
          <w:b w:val="0"/>
          <w:sz w:val="22"/>
        </w:rPr>
        <w:t>Bi-monthly PPE condition check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