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Lapwing Line-Marking Paint (White)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COSHH_08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sds/LMY-SDS.pdf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Lapwing Line-Marking Paint (White)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Lapwing UK Ltd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Acrylic polymer, titanium dioxide (TiO₂)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13463-67-7 (TiO₂)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Aerosol paint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White liquid/aerosol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Line-marking of excavations, site set-out and car parks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Aerosol Cat 1 (flammable aerosol) — water-based variants may differ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B71C1C"/>
          <w:sz w:val="22"/>
        </w:rPr>
        <w:t>Danger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Extremely flammable aerosol.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H229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Pressurised container: may burst if heated.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serious eye irritation.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H411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Toxic to aquatic life with long lasting effects.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away from heat, hot surfaces, sparks, open flames and other ignition sources. No smoking.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P211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spray on an open flame or other ignition source.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P251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pierce or burn, even after use.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P280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Wear protective gloves/protective clothing/eye protection/face protection.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P305+351+338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IN EYES: Rinse cautiously with water for several minutes. Remove contact lenses, if present and easy to do. Continue rinsing.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P410+412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Protect from sunlight. Do not expose to temperatures exceeding 50 °C.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P501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Dispose of contents/container to an authorised waste contractor in accordance with local regulations.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GHS02: </w:t>
      </w:r>
      <w:r>
        <w:rPr>
          <w:rFonts w:ascii="Arial" w:hAnsi="Arial"/>
          <w:b w:val="0"/>
          <w:sz w:val="22"/>
        </w:rPr>
        <w:t>Flammable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GHS09: </w:t>
      </w:r>
      <w:r>
        <w:rPr>
          <w:rFonts w:ascii="Arial" w:hAnsi="Arial"/>
          <w:b w:val="0"/>
          <w:sz w:val="22"/>
        </w:rPr>
        <w:t>Environmental hazard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Line-marking operatives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Highway maintenance staff</w:t>
      </w:r>
    </w:p>
    <w:p>
      <w:pPr>
        <w:pStyle w:val="ListBullet"/>
      </w:pPr>
      <w:r>
        <w:rPr>
          <w:rFonts w:ascii="Arial" w:hAnsi="Arial"/>
          <w:b w:val="0"/>
          <w:sz w:val="22"/>
        </w:rPr>
        <w:t>Site personnel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Mist may cause respiratory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Minor staining; mild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Mist causes irritation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Unlikely in normal use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Substance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8-hr TWA</w:t>
            </w:r>
          </w:p>
        </w:tc>
        <w:tc>
          <w:tcPr>
            <w:tcW w:type="dxa" w:w="3324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15-min STEL</w:t>
            </w:r>
          </w:p>
        </w:tc>
      </w:tr>
      <w:tr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Titanium dioxide (inhalable)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10 mg/m³</w:t>
            </w:r>
          </w:p>
        </w:tc>
        <w:tc>
          <w:tcPr>
            <w:tcW w:type="dxa" w:w="3324"/>
          </w:tcPr>
          <w:p>
            <w:r/>
            <w:r>
              <w:rPr>
                <w:rFonts w:ascii="Arial" w:hAnsi="Arial"/>
                <w:b w:val="0"/>
                <w:sz w:val="21"/>
              </w:rPr>
              <w:t>—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outdoors or in well-ventilated area</w:t>
      </w:r>
    </w:p>
    <w:p>
      <w:pPr>
        <w:pStyle w:val="ListBullet"/>
      </w:pPr>
      <w:r>
        <w:rPr>
          <w:rFonts w:ascii="Arial" w:hAnsi="Arial"/>
          <w:b w:val="0"/>
          <w:sz w:val="22"/>
        </w:rPr>
        <w:t>Traffic management in place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Check weather before use</w:t>
      </w:r>
    </w:p>
    <w:p>
      <w:pPr>
        <w:pStyle w:val="ListBullet"/>
      </w:pPr>
      <w:r>
        <w:rPr>
          <w:rFonts w:ascii="Arial" w:hAnsi="Arial"/>
          <w:b w:val="0"/>
          <w:sz w:val="22"/>
        </w:rPr>
        <w:t>No smoking / hot work nearby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</w:t>
      </w:r>
    </w:p>
    <w:p>
      <w:pPr>
        <w:pStyle w:val="ListBullet"/>
      </w:pPr>
      <w:r>
        <w:rPr>
          <w:rFonts w:ascii="Arial" w:hAnsi="Arial"/>
          <w:b w:val="0"/>
          <w:sz w:val="22"/>
        </w:rPr>
        <w:t>High-visibility clothing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Coveralls/disposable apron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Below 50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Cool, ventilated store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Heat, sparks, frost,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aerosol can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 if irritation persists.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Do not induce vomiting. Seek medical advice.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Eliminate ignition sources. Absorb with inert material. Dispose as hazardous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Fire</w:t>
      </w:r>
    </w:p>
    <w:p>
      <w:r>
        <w:rPr>
          <w:rFonts w:ascii="Arial" w:hAnsi="Arial"/>
          <w:b w:val="0"/>
          <w:sz w:val="22"/>
        </w:rPr>
        <w:t>Flammable aerosol. Use foam, CO₂ or dry powder. Cool exposed cans with water.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Empty aerosols are hazardous (EWC 16 05 04*).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Moderate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Aerosol handling</w:t>
      </w:r>
    </w:p>
    <w:p>
      <w:pPr>
        <w:pStyle w:val="ListBullet"/>
      </w:pPr>
      <w:r>
        <w:rPr>
          <w:rFonts w:ascii="Arial" w:hAnsi="Arial"/>
          <w:b w:val="0"/>
          <w:sz w:val="22"/>
        </w:rPr>
        <w:t>Line-marking safe working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Weekly van-pack inspection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