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Traffic Film Remover (Orbit — Würth)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COSHH_10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sds/C312.pdf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Traffic Film Remover (Orbit — Würth)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Würth UK Ltd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Alkaline cleaner — contains sodium hydroxide + anionic surfactants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1310-73-2 (NaOH)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 concentrate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Clear/pale-coloured 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Exterior vehicle pre-wash for removal of road film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Skin Corrosive Cat 1B, Eye Damage Cat 1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severe skin burns and eye damage.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breathe dust/fume/gas/mist/vapours/spray.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thoroughly after handling.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P301+330+331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SWALLOWED: Rinse mouth. Do NOT induce vomiting.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P303+361+353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ON SKIN (or hair): Take off immediately all contaminated clothing. Rinse skin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P305+351+338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IN EYES: Rinse cautiously with water for several minutes. Remove contact lenses, if present and easy to do. Continue rinsing.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Immediately call a POISON CENTRE or doctor/physician.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P405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Store locked up.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GHS05: </w:t>
      </w:r>
      <w:r>
        <w:rPr>
          <w:rFonts w:ascii="Arial" w:hAnsi="Arial"/>
          <w:b w:val="0"/>
          <w:sz w:val="22"/>
        </w:rPr>
        <w:t>Corrosive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Vehicle-cleaning operatives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Mist irritates respiratory tract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Severe burns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Severe damage — irreversible possible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Severe corrosive effects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Sodium hydroxide (mist)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2 mg/m³ (15-min STEL)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—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in designated wash bay with bund</w:t>
      </w:r>
    </w:p>
    <w:p>
      <w:pPr>
        <w:pStyle w:val="ListBullet"/>
      </w:pPr>
      <w:r>
        <w:rPr>
          <w:rFonts w:ascii="Arial" w:hAnsi="Arial"/>
          <w:b w:val="0"/>
          <w:sz w:val="22"/>
        </w:rPr>
        <w:t>Eyewash station within 10 m</w:t>
      </w:r>
    </w:p>
    <w:p>
      <w:pPr>
        <w:pStyle w:val="ListBullet"/>
      </w:pPr>
      <w:r>
        <w:rPr>
          <w:rFonts w:ascii="Arial" w:hAnsi="Arial"/>
          <w:b w:val="0"/>
          <w:sz w:val="22"/>
        </w:rPr>
        <w:t>Pressure washer with fan nozzle to reduce splash-back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Always dilute per instructions — never use neat</w:t>
      </w:r>
    </w:p>
    <w:p>
      <w:pPr>
        <w:pStyle w:val="ListBullet"/>
      </w:pPr>
      <w:r>
        <w:rPr>
          <w:rFonts w:ascii="Arial" w:hAnsi="Arial"/>
          <w:b w:val="0"/>
          <w:sz w:val="22"/>
        </w:rPr>
        <w:t>Never mix with acids or other chemicals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or PVC chemical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Chemical goggles or face shield</w:t>
      </w:r>
    </w:p>
    <w:p>
      <w:pPr>
        <w:pStyle w:val="ListBullet"/>
      </w:pPr>
      <w:r>
        <w:rPr>
          <w:rFonts w:ascii="Arial" w:hAnsi="Arial"/>
          <w:b w:val="0"/>
          <w:sz w:val="22"/>
        </w:rPr>
        <w:t>Chemical-resistant apron</w:t>
      </w:r>
    </w:p>
    <w:p>
      <w:pPr>
        <w:pStyle w:val="ListBullet"/>
      </w:pPr>
      <w:r>
        <w:rPr>
          <w:rFonts w:ascii="Arial" w:hAnsi="Arial"/>
          <w:b w:val="0"/>
          <w:sz w:val="22"/>
        </w:rPr>
        <w:t>Wellingtons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5–25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Bunded area, away from acids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Acids, aluminium, zinc, organics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sealed container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at least 15 minutes. Remove contact lenses. Seek immediate medical attention.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Remove contaminated clothing. Wash with plenty of water for 15 minutes. Seek medical attention.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 Seek medical advice if symptoms persist.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 Rinse mouth. Give water if conscious. Seek immediate medical attention.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Dilute with water. Neutralise with dilute acid (e.g. citric acid). Absorb with inert material. Dispose as 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Not flammable.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Hazardous waste (alkaline). Dispose via authorised contractor.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High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Corrosive chemical handling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Spill response</w:t>
      </w:r>
    </w:p>
    <w:p>
      <w:pPr>
        <w:pStyle w:val="ListBullet"/>
      </w:pPr>
      <w:r>
        <w:rPr>
          <w:rFonts w:ascii="Arial" w:hAnsi="Arial"/>
          <w:b w:val="0"/>
          <w:sz w:val="22"/>
        </w:rPr>
        <w:t>PPE fit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PPE condition check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