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Pom Autumn Air Freshener (300 ml)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COSHH_19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Pom Autumn Air Freshener (300 ml)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Pom Products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Propellant +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 with seasonal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Welfare-area air freshening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See SDS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