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120"/>
      </w:pPr>
      <w:r>
        <w:rPr>
          <w:b/>
          <w:bCs/>
          <w:caps/>
          <w:color w:val="2c4f7c"/>
          <w:spacing w:val="30"/>
          <w:sz w:val="22"/>
          <w:szCs w:val="22"/>
        </w:rPr>
        <w:t xml:space="preserve">COSHH Assessment</w:t>
      </w:r>
    </w:p>
    <w:p>
      <w:pPr>
        <w:spacing w:after="240" w:before="0"/>
      </w:pPr>
      <w:r>
        <w:rPr>
          <w:b/>
          <w:bCs/>
          <w:color w:val="1e3a5f"/>
          <w:sz w:val="40"/>
          <w:szCs w:val="40"/>
        </w:rPr>
        <w:t xml:space="preserve">Clarke Motor Oil SAE 10W/30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13"/>
        <w:gridCol w:w="6425"/>
      </w:tblGrid>
      <w:tr>
        <w:trPr>
          <w:tblHeader/>
        </w:trPr>
        <w:tc>
          <w:tcPr>
            <w:tcW w:type="dxa" w:w="9638"/>
            <w:gridSpan w:val="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e3a5f" w:color="auto" w:val="clear"/>
            <w:tcMar>
              <w:top w:type="dxa" w:w="120"/>
              <w:left w:type="dxa" w:w="160"/>
              <w:bottom w:type="dxa" w:w="120"/>
              <w:right w:type="dxa" w:w="160"/>
            </w:tcMar>
            <w:vAlign w:val="top"/>
          </w:tcPr>
          <w:p>
            <w:r>
              <w:rPr>
                <w:b/>
                <w:bCs/>
                <w:caps/>
                <w:color w:val="FFFFFF"/>
                <w:spacing w:val="40"/>
                <w:sz w:val="22"/>
                <w:szCs w:val="22"/>
              </w:rPr>
              <w:t xml:space="preserve">Document Information</w:t>
            </w:r>
          </w:p>
        </w:tc>
      </w:tr>
      <w:tr>
        <w:tc>
          <w:tcPr>
            <w:tcW w:type="dxa" w:w="32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b/>
                <w:bCs/>
                <w:color w:val="0f1f33"/>
                <w:sz w:val="20"/>
                <w:szCs w:val="20"/>
              </w:rPr>
              <w:t xml:space="preserve">Document Reference</w:t>
            </w:r>
          </w:p>
        </w:tc>
        <w:tc>
          <w:tcPr>
            <w:tcW w:type="dxa" w:w="642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>COSHH_25</w:t>
            </w:r>
          </w:p>
        </w:tc>
      </w:tr>
      <w:tr>
        <w:tc>
          <w:tcPr>
            <w:tcW w:type="dxa" w:w="32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b/>
                <w:bCs/>
                <w:color w:val="0f1f33"/>
                <w:sz w:val="20"/>
                <w:szCs w:val="20"/>
              </w:rPr>
              <w:t xml:space="preserve">Issue Number</w:t>
            </w:r>
          </w:p>
        </w:tc>
        <w:tc>
          <w:tcPr>
            <w:tcW w:type="dxa" w:w="642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32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b/>
                <w:bCs/>
                <w:color w:val="0f1f33"/>
                <w:sz w:val="20"/>
                <w:szCs w:val="20"/>
              </w:rPr>
              <w:t xml:space="preserve">Issue Date</w:t>
            </w:r>
          </w:p>
        </w:tc>
        <w:tc>
          <w:tcPr>
            <w:tcW w:type="dxa" w:w="642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>25 September 2026</w:t>
            </w:r>
          </w:p>
        </w:tc>
      </w:tr>
      <w:tr>
        <w:tc>
          <w:tcPr>
            <w:tcW w:type="dxa" w:w="32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b/>
                <w:bCs/>
                <w:color w:val="0f1f33"/>
                <w:sz w:val="20"/>
                <w:szCs w:val="20"/>
              </w:rPr>
              <w:t xml:space="preserve">Next Review</w:t>
            </w:r>
          </w:p>
        </w:tc>
        <w:tc>
          <w:tcPr>
            <w:tcW w:type="dxa" w:w="642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>1 June 2027</w:t>
            </w:r>
          </w:p>
        </w:tc>
      </w:tr>
      <w:tr>
        <w:tc>
          <w:tcPr>
            <w:tcW w:type="dxa" w:w="32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b/>
                <w:bCs/>
                <w:color w:val="0f1f33"/>
                <w:sz w:val="20"/>
                <w:szCs w:val="20"/>
              </w:rPr>
              <w:t xml:space="preserve">Assessor</w:t>
            </w:r>
          </w:p>
        </w:tc>
        <w:tc>
          <w:tcPr>
            <w:tcW w:type="dxa" w:w="642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>Sean Ashton (Onyx Operations)</w:t>
            </w:r>
          </w:p>
        </w:tc>
      </w:tr>
      <w:tr>
        <w:tc>
          <w:tcPr>
            <w:tcW w:type="dxa" w:w="32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b/>
                <w:bCs/>
                <w:color w:val="0f1f33"/>
                <w:sz w:val="20"/>
                <w:szCs w:val="20"/>
              </w:rPr>
              <w:t xml:space="preserve">Approved By</w:t>
            </w:r>
          </w:p>
        </w:tc>
        <w:tc>
          <w:tcPr>
            <w:tcW w:type="dxa" w:w="642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>Aaron Mason, Director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6499c7" w:sz="4"/>
              <w:left w:val="single" w:color="1e3a5f" w:sz="12"/>
              <w:bottom w:val="single" w:color="6499c7" w:sz="4"/>
              <w:right w:val="single" w:color="6499c7" w:sz="4"/>
            </w:tcBorders>
            <w:shd w:fill="F2F2F2" w:color="auto" w:val="clear"/>
            <w:tcMar>
              <w:top w:type="dxa" w:w="140"/>
              <w:left w:type="dxa" w:w="200"/>
              <w:bottom w:type="dxa" w:w="140"/>
              <w:right w:type="dxa" w:w="200"/>
            </w:tcMar>
            <w:vAlign w:val="top"/>
          </w:tcPr>
          <w:p>
            <w:pPr>
              <w:spacing w:after="80" w:before="0"/>
            </w:pPr>
            <w:r>
              <w:rPr>
                <w:b/>
                <w:bCs/>
                <w:color w:val="1e3a5f"/>
                <w:sz w:val="22"/>
                <w:szCs w:val="22"/>
              </w:rPr>
              <w:t xml:space="preserve">Key references</w:t>
            </w:r>
          </w:p>
          <w:p>
            <w:pPr>
              <w:spacing w:after="40" w:before="40"/>
              <w:ind w:left="200" w:hanging="200"/>
            </w:pPr>
            <w:r>
              <w:rPr>
                <w:sz w:val="20"/>
                <w:szCs w:val="20"/>
              </w:rPr>
              <w:t xml:space="preserve">▸  Clarke-API-SF-10W-30-Motor-Oil-3050845.pdf — Manufacturer Safety Data Sheet</w:t>
            </w:r>
          </w:p>
          <w:p>
            <w:pPr>
              <w:spacing w:after="40" w:before="40"/>
              <w:ind w:left="200" w:hanging="200"/>
            </w:pPr>
            <w:r>
              <w:rPr>
                <w:sz w:val="20"/>
                <w:szCs w:val="20"/>
              </w:rPr>
              <w:t xml:space="preserve">▸  Clarke-API-SF-10W-30-Motor-Oil-3050845.pdf — Manufacturer Safety Data Sheet</w:t>
            </w:r>
          </w:p>
          <w:p>
            <w:pPr>
              <w:spacing w:after="40" w:before="40"/>
              <w:ind w:left="200" w:hanging="200"/>
            </w:pPr>
            <w:r>
              <w:rPr>
                <w:sz w:val="20"/>
                <w:szCs w:val="20"/>
              </w:rPr>
              <w:t xml:space="preserve">▸  Clarke International sheet for API SF 10W-30 Motor Oil, article 3050845, version 4 of 11/10/2024, filed 27/09/2026. It records the product as not classified, against H315 and H411 printed on Clarke's own label for the same article. The classification in this assessment is taken from the label.</w:t>
            </w:r>
          </w:p>
          <w:p>
            <w:pPr>
              <w:spacing w:after="40" w:before="40"/>
              <w:ind w:left="200" w:hanging="200"/>
            </w:pPr>
            <w:r>
              <w:rPr>
                <w:sz w:val="20"/>
                <w:szCs w:val="20"/>
              </w:rPr>
              <w:t xml:space="preserve">▸  Van Packs portal — COSHH section — synchronised copy carried by every operative</w:t>
            </w:r>
          </w:p>
        </w:tc>
      </w:tr>
    </w:tbl>
    <w:p>
      <w:pPr>
        <w:spacing w:after="0" w:before="200"/>
      </w:pPr>
    </w:p>
    <w:p>
      <w:pPr>
        <w:keepNext/>
        <w:keepLines/>
        <w:pBdr>
          <w:bottom w:val="single" w:color="6499c7" w:sz="8" w:space="4"/>
        </w:pBdr>
        <w:spacing w:after="120" w:before="360"/>
      </w:pPr>
      <w:r>
        <w:rPr>
          <w:b/>
          <w:bCs/>
          <w:color w:val="1e3a5f"/>
          <w:sz w:val="26"/>
          <w:szCs w:val="26"/>
        </w:rPr>
        <w:t xml:space="preserve">1. Product Identification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838"/>
      </w:tblGrid>
      <w:tr>
        <w:trPr>
          <w:cantSplit/>
        </w:trPr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b/>
                <w:bCs/>
                <w:color w:val="0f1f33"/>
                <w:sz w:val="20"/>
                <w:szCs w:val="20"/>
              </w:rPr>
              <w:t xml:space="preserve">Product name</w:t>
            </w:r>
          </w:p>
        </w:tc>
        <w:tc>
          <w:tcPr>
            <w:tcW w:type="dxa" w:w="68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>Clarke Motor Oil SAE 10W/30, API SF, 1 litre — article 3050845</w:t>
            </w:r>
          </w:p>
        </w:tc>
      </w:tr>
      <w:tr>
        <w:trPr>
          <w:cantSplit/>
        </w:trPr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b/>
                <w:bCs/>
                <w:color w:val="0f1f33"/>
                <w:sz w:val="20"/>
                <w:szCs w:val="20"/>
              </w:rPr>
              <w:t xml:space="preserve">Part number</w:t>
            </w:r>
          </w:p>
        </w:tc>
        <w:tc>
          <w:tcPr>
            <w:tcW w:type="dxa" w:w="68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>3050845</w:t>
            </w:r>
          </w:p>
        </w:tc>
      </w:tr>
      <w:tr>
        <w:trPr>
          <w:cantSplit/>
        </w:trPr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b/>
                <w:bCs/>
                <w:color w:val="0f1f33"/>
                <w:sz w:val="20"/>
                <w:szCs w:val="20"/>
              </w:rPr>
              <w:t xml:space="preserve">Supplier</w:t>
            </w:r>
          </w:p>
        </w:tc>
        <w:tc>
          <w:tcPr>
            <w:tcW w:type="dxa" w:w="68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>Clarke International, Hemnall Street, Epping, Essex CM16 4LG</w:t>
            </w:r>
          </w:p>
        </w:tc>
      </w:tr>
      <w:tr>
        <w:trPr>
          <w:cantSplit/>
        </w:trPr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b/>
                <w:bCs/>
                <w:color w:val="0f1f33"/>
                <w:sz w:val="20"/>
                <w:szCs w:val="20"/>
              </w:rPr>
              <w:t xml:space="preserve">Pack</w:t>
            </w:r>
          </w:p>
        </w:tc>
        <w:tc>
          <w:tcPr>
            <w:tcW w:type="dxa" w:w="68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>1 litre</w:t>
            </w:r>
          </w:p>
        </w:tc>
      </w:tr>
      <w:tr>
        <w:trPr>
          <w:cantSplit/>
        </w:trPr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b/>
                <w:bCs/>
                <w:color w:val="0f1f33"/>
                <w:sz w:val="20"/>
                <w:szCs w:val="20"/>
              </w:rPr>
              <w:t xml:space="preserve">Specification</w:t>
            </w:r>
          </w:p>
        </w:tc>
        <w:tc>
          <w:tcPr>
            <w:tcW w:type="dxa" w:w="68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>API SF. For 4-stroke petrol engines — pressure washers, generators, mowers and yard plant</w:t>
            </w:r>
          </w:p>
        </w:tc>
      </w:tr>
      <w:tr>
        <w:trPr>
          <w:cantSplit/>
        </w:trPr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b/>
                <w:bCs/>
                <w:color w:val="0f1f33"/>
                <w:sz w:val="20"/>
                <w:szCs w:val="20"/>
              </w:rPr>
              <w:t xml:space="preserve">Active ingredients / CAS</w:t>
            </w:r>
          </w:p>
        </w:tc>
        <w:tc>
          <w:tcPr>
            <w:tcW w:type="dxa" w:w="68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>Severely hydrotreated / solvent-refined mineral base oil plus proprietary performance additives CAS: 64742-54-7 / 64742-65-0 (typical base stocks)</w:t>
            </w:r>
          </w:p>
        </w:tc>
      </w:tr>
      <w:tr>
        <w:trPr>
          <w:cantSplit/>
        </w:trPr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b/>
                <w:bCs/>
                <w:color w:val="0f1f33"/>
                <w:sz w:val="20"/>
                <w:szCs w:val="20"/>
              </w:rPr>
              <w:t xml:space="preserve">Physical form</w:t>
            </w:r>
          </w:p>
        </w:tc>
        <w:tc>
          <w:tcPr>
            <w:tcW w:type="dxa" w:w="68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>Liquid</w:t>
            </w:r>
          </w:p>
        </w:tc>
      </w:tr>
      <w:tr>
        <w:trPr>
          <w:cantSplit/>
        </w:trPr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b/>
                <w:bCs/>
                <w:color w:val="0f1f33"/>
                <w:sz w:val="20"/>
                <w:szCs w:val="20"/>
              </w:rPr>
              <w:t xml:space="preserve">Appearance / odour</w:t>
            </w:r>
          </w:p>
        </w:tc>
        <w:tc>
          <w:tcPr>
            <w:tcW w:type="dxa" w:w="68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>Amber viscous oil, characteristic mild odour</w:t>
            </w:r>
          </w:p>
        </w:tc>
      </w:tr>
      <w:tr>
        <w:trPr>
          <w:cantSplit/>
        </w:trPr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b/>
                <w:bCs/>
                <w:color w:val="0f1f33"/>
                <w:sz w:val="20"/>
                <w:szCs w:val="20"/>
              </w:rPr>
              <w:t xml:space="preserve">Use</w:t>
            </w:r>
          </w:p>
        </w:tc>
        <w:tc>
          <w:tcPr>
            <w:tcW w:type="dxa" w:w="68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>Engine oil top-up and oil changes on the AMWS fleet and yard plant</w:t>
            </w:r>
          </w:p>
        </w:tc>
      </w:tr>
      <w:tr>
        <w:trPr>
          <w:cantSplit/>
        </w:trPr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b/>
                <w:bCs/>
                <w:color w:val="0f1f33"/>
                <w:sz w:val="20"/>
                <w:szCs w:val="20"/>
              </w:rPr>
              <w:t xml:space="preserve">Location</w:t>
            </w:r>
          </w:p>
        </w:tc>
        <w:tc>
          <w:tcPr>
            <w:tcW w:type="dxa" w:w="68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>Jason May's COSHH cabinet, AMWS yard</w:t>
            </w:r>
          </w:p>
        </w:tc>
      </w:tr>
    </w:tbl>
    <w:p>
      <w:pPr>
        <w:pBdr>
          <w:bottom w:val="single" w:color="6499c7" w:sz="8" w:space="4"/>
        </w:pBdr>
        <w:spacing w:after="120" w:before="360"/>
      </w:pPr>
      <w:r>
        <w:rPr>
          <w:b/>
          <w:bCs/>
          <w:color w:val="1e3a5f"/>
          <w:sz w:val="26"/>
          <w:szCs w:val="26"/>
        </w:rPr>
        <w:t xml:space="preserve">2. Hazard Classification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F0B900" w:sz="4"/>
              <w:left w:val="single" w:color="F0B900" w:sz="12"/>
              <w:bottom w:val="single" w:color="F0B900" w:sz="4"/>
              <w:right w:val="single" w:color="F0B900" w:sz="4"/>
            </w:tcBorders>
            <w:shd w:fill="FFF8E1" w:color="auto" w:val="clear"/>
            <w:tcMar>
              <w:top w:type="dxa" w:w="140"/>
              <w:left w:type="dxa" w:w="200"/>
              <w:bottom w:type="dxa" w:w="140"/>
              <w:right w:type="dxa" w:w="20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sz w:val="20"/>
                <w:szCs w:val="20"/>
              </w:rPr>
              <w:t xml:space="preserve">Overall classification: </w:t>
            </w:r>
            <w:r>
              <w:rPr>
                <w:sz w:val="20"/>
                <w:szCs w:val="20"/>
              </w:rPr>
              <w:t xml:space="preserve">Classified under GB CLP. Skin Irrit. 2 and Aquatic Chronic 2 per the container label. Used engine oil is more hazardous still — it accumulates polycyclic aromatic hydrocarbons and is treated as a skin carcinogen, so every drain-down is the hazardous operation even though the classification below is for the fresh product.</w:t>
            </w:r>
          </w:p>
          <w:p>
            <w:pPr>
              <w:spacing w:after="40" w:before="40"/>
            </w:pPr>
            <w:r>
              <w:rPr>
                <w:b/>
                <w:bCs/>
                <w:sz w:val="20"/>
                <w:szCs w:val="20"/>
              </w:rPr>
              <w:t xml:space="preserve">Signal word: </w:t>
            </w:r>
            <w:r>
              <w:rPr>
                <w:sz w:val="20"/>
                <w:szCs w:val="20"/>
              </w:rPr>
              <w:t xml:space="preserve">Warning</w:t>
            </w:r>
          </w:p>
          <w:p>
            <w:pPr>
              <w:spacing w:after="40" w:before="120"/>
            </w:pPr>
            <w:r>
              <w:rPr>
                <w:b/>
                <w:bCs/>
                <w:color w:val="2c4f7c"/>
                <w:sz w:val="20"/>
                <w:szCs w:val="20"/>
              </w:rPr>
              <w:t xml:space="preserve">Hazard statements (H-codes)</w:t>
            </w:r>
          </w:p>
          <w:p>
            <w:pPr>
              <w:spacing w:after="40" w:before="40"/>
              <w:ind w:left="200" w:hanging="200"/>
            </w:pPr>
            <w:r>
              <w:rPr>
                <w:b/>
                <w:bCs/>
                <w:sz w:val="20"/>
                <w:szCs w:val="20"/>
              </w:rPr>
              <w:t xml:space="preserve">H315  </w:t>
            </w:r>
            <w:r>
              <w:rPr>
                <w:sz w:val="20"/>
                <w:szCs w:val="20"/>
              </w:rPr>
              <w:t xml:space="preserve">Causes skin irritation.</w:t>
            </w:r>
          </w:p>
          <w:p>
            <w:pPr>
              <w:spacing w:after="40" w:before="40"/>
              <w:ind w:left="200" w:hanging="200"/>
            </w:pPr>
            <w:r>
              <w:rPr>
                <w:b/>
                <w:bCs/>
                <w:sz w:val="20"/>
                <w:szCs w:val="20"/>
              </w:rPr>
              <w:t xml:space="preserve">H411  </w:t>
            </w:r>
            <w:r>
              <w:rPr>
                <w:sz w:val="20"/>
                <w:szCs w:val="20"/>
              </w:rPr>
              <w:t xml:space="preserve">Toxic to aquatic life with long lasting effects.</w:t>
            </w:r>
          </w:p>
          <w:p>
            <w:pPr>
              <w:spacing w:after="40" w:before="120"/>
            </w:pPr>
            <w:r>
              <w:rPr>
                <w:b/>
                <w:bCs/>
                <w:color w:val="2c4f7c"/>
                <w:sz w:val="20"/>
                <w:szCs w:val="20"/>
              </w:rPr>
              <w:t xml:space="preserve">Precautionary statements (P-codes)</w:t>
            </w:r>
          </w:p>
          <w:p>
            <w:pPr>
              <w:spacing w:after="40" w:before="40"/>
              <w:ind w:left="200" w:hanging="200"/>
            </w:pPr>
            <w:r>
              <w:rPr>
                <w:b/>
                <w:bCs/>
                <w:sz w:val="20"/>
                <w:szCs w:val="20"/>
              </w:rPr>
              <w:t xml:space="preserve">P264  </w:t>
            </w:r>
            <w:r>
              <w:rPr>
                <w:sz w:val="20"/>
                <w:szCs w:val="20"/>
              </w:rPr>
              <w:t xml:space="preserve">Wash hands thoroughly after handling.</w:t>
            </w:r>
          </w:p>
          <w:p>
            <w:pPr>
              <w:spacing w:after="40" w:before="40"/>
              <w:ind w:left="200" w:hanging="200"/>
            </w:pPr>
            <w:r>
              <w:rPr>
                <w:b/>
                <w:bCs/>
                <w:sz w:val="20"/>
                <w:szCs w:val="20"/>
              </w:rPr>
              <w:t xml:space="preserve">P273  </w:t>
            </w:r>
            <w:r>
              <w:rPr>
                <w:sz w:val="20"/>
                <w:szCs w:val="20"/>
              </w:rPr>
              <w:t xml:space="preserve">Avoid release to the environment.</w:t>
            </w:r>
          </w:p>
          <w:p>
            <w:pPr>
              <w:spacing w:after="40" w:before="40"/>
              <w:ind w:left="200" w:hanging="200"/>
            </w:pPr>
            <w:r>
              <w:rPr>
                <w:b/>
                <w:bCs/>
                <w:sz w:val="20"/>
                <w:szCs w:val="20"/>
              </w:rPr>
              <w:t xml:space="preserve">P280  </w:t>
            </w:r>
            <w:r>
              <w:rPr>
                <w:sz w:val="20"/>
                <w:szCs w:val="20"/>
              </w:rPr>
              <w:t xml:space="preserve">Wear protective gloves and eye protection.</w:t>
            </w:r>
          </w:p>
          <w:p>
            <w:pPr>
              <w:spacing w:after="40" w:before="40"/>
              <w:ind w:left="200" w:hanging="200"/>
            </w:pPr>
            <w:r>
              <w:rPr>
                <w:b/>
                <w:bCs/>
                <w:sz w:val="20"/>
                <w:szCs w:val="20"/>
              </w:rPr>
              <w:t xml:space="preserve">P302+P352  </w:t>
            </w:r>
            <w:r>
              <w:rPr>
                <w:sz w:val="20"/>
                <w:szCs w:val="20"/>
              </w:rPr>
              <w:t xml:space="preserve">IF ON SKIN: wash with plenty of water.</w:t>
            </w:r>
          </w:p>
          <w:p>
            <w:pPr>
              <w:spacing w:after="40" w:before="40"/>
              <w:ind w:left="200" w:hanging="200"/>
            </w:pPr>
            <w:r>
              <w:rPr>
                <w:b/>
                <w:bCs/>
                <w:sz w:val="20"/>
                <w:szCs w:val="20"/>
              </w:rPr>
              <w:t xml:space="preserve">P332+P313  </w:t>
            </w:r>
            <w:r>
              <w:rPr>
                <w:sz w:val="20"/>
                <w:szCs w:val="20"/>
              </w:rPr>
              <w:t xml:space="preserve">If skin irritation occurs: get medical advice.</w:t>
            </w:r>
          </w:p>
          <w:p>
            <w:pPr>
              <w:spacing w:after="40" w:before="40"/>
              <w:ind w:left="200" w:hanging="200"/>
            </w:pPr>
            <w:r>
              <w:rPr>
                <w:b/>
                <w:bCs/>
                <w:sz w:val="20"/>
                <w:szCs w:val="20"/>
              </w:rPr>
              <w:t xml:space="preserve">P362  </w:t>
            </w:r>
            <w:r>
              <w:rPr>
                <w:sz w:val="20"/>
                <w:szCs w:val="20"/>
              </w:rPr>
              <w:t xml:space="preserve">Take off contaminated clothing and wash it before reuse.</w:t>
            </w:r>
          </w:p>
          <w:p>
            <w:pPr>
              <w:spacing w:after="40" w:before="40"/>
              <w:ind w:left="200" w:hanging="200"/>
            </w:pPr>
            <w:r>
              <w:rPr>
                <w:b/>
                <w:bCs/>
                <w:sz w:val="20"/>
                <w:szCs w:val="20"/>
              </w:rPr>
              <w:t xml:space="preserve">P391  </w:t>
            </w:r>
            <w:r>
              <w:rPr>
                <w:sz w:val="20"/>
                <w:szCs w:val="20"/>
              </w:rPr>
              <w:t xml:space="preserve">Collect spillage.</w:t>
            </w:r>
          </w:p>
          <w:p>
            <w:pPr>
              <w:spacing w:after="40" w:before="40"/>
              <w:ind w:left="200" w:hanging="200"/>
            </w:pPr>
            <w:r>
              <w:rPr>
                <w:b/>
                <w:bCs/>
                <w:sz w:val="20"/>
                <w:szCs w:val="20"/>
              </w:rPr>
              <w:t xml:space="preserve">P501  </w:t>
            </w:r>
            <w:r>
              <w:rPr>
                <w:sz w:val="20"/>
                <w:szCs w:val="20"/>
              </w:rPr>
              <w:t xml:space="preserve">Dispose of contents and container to an authorised waste-oil contractor.</w:t>
            </w:r>
          </w:p>
          <w:p>
            <w:pPr>
              <w:spacing w:after="40" w:before="120"/>
            </w:pPr>
            <w:r>
              <w:rPr>
                <w:b/>
                <w:bCs/>
                <w:color w:val="2c4f7c"/>
                <w:sz w:val="20"/>
                <w:szCs w:val="20"/>
              </w:rPr>
              <w:t xml:space="preserve">GHS pictograms</w:t>
            </w:r>
          </w:p>
          <w:p>
            <w:pPr>
              <w:spacing w:after="40" w:before="40"/>
              <w:ind w:left="200" w:hanging="200"/>
            </w:pPr>
            <w:r>
              <w:rPr>
                <w:sz w:val="20"/>
                <w:szCs w:val="20"/>
              </w:rPr>
              <w:t xml:space="preserve">•  Harmful</w:t>
            </w:r>
          </w:p>
          <w:p>
            <w:pPr>
              <w:spacing w:after="40" w:before="40"/>
              <w:ind w:left="200" w:hanging="200"/>
            </w:pPr>
            <w:r>
              <w:rPr>
                <w:sz w:val="20"/>
                <w:szCs w:val="20"/>
              </w:rPr>
              <w:t xml:space="preserve">•  Dangerous for environment</w:t>
            </w:r>
          </w:p>
        </w:tc>
      </w:tr>
    </w:tbl>
    <w:p>
      <w:pPr>
        <w:keepNext/>
        <w:keepLines/>
        <w:pBdr>
          <w:bottom w:val="single" w:color="6499c7" w:sz="8" w:space="4"/>
        </w:pBdr>
        <w:spacing w:after="120" w:before="360"/>
      </w:pPr>
      <w:r>
        <w:rPr>
          <w:b/>
          <w:bCs/>
          <w:color w:val="1e3a5f"/>
          <w:sz w:val="26"/>
          <w:szCs w:val="26"/>
        </w:rPr>
        <w:t xml:space="preserve">3. Persons at Risk</w:t>
      </w:r>
    </w:p>
    <w:p>
      <w:pPr>
        <w:keepNext/>
        <w:keepLines/>
        <w:pBdr>
          <w:bottom w:val="single" w:color="6499c7" w:sz="8" w:space="4"/>
        </w:pBdr>
        <w:spacing w:after="120" w:before="360"/>
      </w:pPr>
      <w:r>
        <w:rPr>
          <w:b/>
          <w:bCs/>
          <w:color w:val="1e3a5f"/>
          <w:sz w:val="26"/>
          <w:szCs w:val="26"/>
        </w:rPr>
        <w:t xml:space="preserve">4. Routes of Exposure</w:t>
      </w:r>
    </w:p>
    <w:p>
      <w:pPr>
        <w:spacing w:after="40" w:before="40"/>
        <w:ind w:left="200" w:hanging="200"/>
      </w:pPr>
      <w:r>
        <w:rPr>
          <w:sz w:val="20"/>
          <w:szCs w:val="20"/>
        </w:rPr>
        <w:t xml:space="preserve">•  Inhalation: Negligible at ambient temperature. Oil mist only where sprayed or hot</w:t>
      </w:r>
    </w:p>
    <w:p>
      <w:pPr>
        <w:spacing w:after="40" w:before="40"/>
        <w:ind w:left="200" w:hanging="200"/>
      </w:pPr>
      <w:r>
        <w:rPr>
          <w:sz w:val="20"/>
          <w:szCs w:val="20"/>
        </w:rPr>
        <w:t xml:space="preserve">•  Skin contact: The main route. Repeated or prolonged contact causes dermatitis. Used oil is a skin carcinogen — treat every drain-down as the hazardous operation</w:t>
      </w:r>
    </w:p>
    <w:p>
      <w:pPr>
        <w:spacing w:after="40" w:before="40"/>
        <w:ind w:left="200" w:hanging="200"/>
      </w:pPr>
      <w:r>
        <w:rPr>
          <w:sz w:val="20"/>
          <w:szCs w:val="20"/>
        </w:rPr>
        <w:t xml:space="preserve">•  Eye contact: Transient irritation on splash</w:t>
      </w:r>
    </w:p>
    <w:p>
      <w:pPr>
        <w:spacing w:after="40" w:before="40"/>
        <w:ind w:left="200" w:hanging="200"/>
      </w:pPr>
      <w:r>
        <w:rPr>
          <w:sz w:val="20"/>
          <w:szCs w:val="20"/>
        </w:rPr>
        <w:t xml:space="preserve">•  Ingestion: Unlikely in normal use</w:t>
      </w:r>
    </w:p>
    <w:p>
      <w:pPr>
        <w:keepNext/>
        <w:keepLines/>
        <w:pBdr>
          <w:bottom w:val="single" w:color="6499c7" w:sz="8" w:space="4"/>
        </w:pBdr>
        <w:spacing w:after="120" w:before="360"/>
      </w:pPr>
      <w:r>
        <w:rPr>
          <w:b/>
          <w:bCs/>
          <w:color w:val="1e3a5f"/>
          <w:sz w:val="26"/>
          <w:szCs w:val="26"/>
        </w:rPr>
        <w:t xml:space="preserve">5. Workplace Exposure Limits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719"/>
        <w:gridCol w:w="3719"/>
      </w:tblGrid>
      <w:tr>
        <w:trPr>
          <w:tblHeader/>
        </w:trP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e3a5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Substance</w:t>
            </w:r>
          </w:p>
        </w:tc>
        <w:tc>
          <w:tcPr>
            <w:tcW w:type="dxa" w:w="37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e3a5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8-hr TWA</w:t>
            </w:r>
          </w:p>
        </w:tc>
        <w:tc>
          <w:tcPr>
            <w:tcW w:type="dxa" w:w="37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e3a5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15-min STEL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b/>
                <w:bCs/>
                <w:color w:val="0f1f33"/>
                <w:sz w:val="20"/>
                <w:szCs w:val="20"/>
              </w:rPr>
              <w:t xml:space="preserve">Oil mist, mineral</w:t>
            </w:r>
          </w:p>
        </w:tc>
        <w:tc>
          <w:tcPr>
            <w:tcW w:type="dxa" w:w="37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>5 mg/m³</w:t>
            </w:r>
          </w:p>
        </w:tc>
        <w:tc>
          <w:tcPr>
            <w:tcW w:type="dxa" w:w="37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>10 mg/m³</w:t>
            </w:r>
          </w:p>
        </w:tc>
      </w:tr>
    </w:tbl>
    <w:p>
      <w:pPr>
        <w:keepNext/>
        <w:keepLines/>
        <w:pBdr>
          <w:bottom w:val="single" w:color="6499c7" w:sz="8" w:space="4"/>
        </w:pBdr>
        <w:spacing w:after="120" w:before="360"/>
      </w:pPr>
      <w:r>
        <w:rPr>
          <w:b/>
          <w:bCs/>
          <w:color w:val="1e3a5f"/>
          <w:sz w:val="26"/>
          <w:szCs w:val="26"/>
        </w:rPr>
        <w:t xml:space="preserve">6. Frequency and Duration of Exposure</w:t>
      </w:r>
    </w:p>
    <w:p>
      <w:pPr>
        <w:spacing w:after="40" w:before="40"/>
      </w:pPr>
      <w:r>
        <w:rPr>
          <w:i/>
          <w:iCs/>
          <w:color w:val="595959"/>
          <w:sz w:val="18"/>
          <w:szCs w:val="18"/>
        </w:rPr>
        <w:t xml:space="preserve">COSHH Regulation 6(2) requires the assessment to consider the amount, the level and the duration of exposure.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12"/>
        <w:gridCol w:w="3212"/>
        <w:gridCol w:w="3212"/>
      </w:tblGrid>
      <w:tr>
        <w:trPr>
          <w:tblHeader/>
        </w:trPr>
        <w:tc>
          <w:tcPr>
            <w:tcW w:type="dxa" w:w="32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e3a5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Amount used</w:t>
            </w:r>
          </w:p>
        </w:tc>
        <w:tc>
          <w:tcPr>
            <w:tcW w:type="dxa" w:w="32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e3a5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Times per day</w:t>
            </w:r>
          </w:p>
        </w:tc>
        <w:tc>
          <w:tcPr>
            <w:tcW w:type="dxa" w:w="32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e3a5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Duration per use</w:t>
            </w:r>
          </w:p>
        </w:tc>
      </w:tr>
      <w:tr>
        <w:trPr>
          <w:cantSplit/>
        </w:trPr>
        <w:tc>
          <w:tcPr>
            <w:tcW w:type="dxa" w:w="32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>Medium — litres</w:t>
            </w:r>
          </w:p>
        </w:tc>
        <w:tc>
          <w:tcPr>
            <w:tcW w:type="dxa" w:w="32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>1–5 times per day</w:t>
            </w:r>
          </w:p>
        </w:tc>
        <w:tc>
          <w:tcPr>
            <w:tcW w:type="dxa" w:w="32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>6–30 minutes</w:t>
            </w:r>
          </w:p>
        </w:tc>
      </w:tr>
    </w:tbl>
    <w:p>
      <w:pPr>
        <w:keepNext/>
        <w:keepLines/>
        <w:pBdr>
          <w:bottom w:val="single" w:color="6499c7" w:sz="8" w:space="4"/>
        </w:pBdr>
        <w:spacing w:after="120" w:before="360"/>
      </w:pPr>
      <w:r>
        <w:rPr>
          <w:b/>
          <w:bCs/>
          <w:color w:val="1e3a5f"/>
          <w:sz w:val="26"/>
          <w:szCs w:val="26"/>
        </w:rPr>
        <w:t xml:space="preserve">7. Control Measures — Hierarchy of Controls</w:t>
      </w:r>
    </w:p>
    <w:p>
      <w:pPr>
        <w:keepNext/>
        <w:keepLines/>
        <w:spacing w:after="80" w:before="200"/>
      </w:pPr>
      <w:r>
        <w:rPr>
          <w:b/>
          <w:bCs/>
          <w:color w:val="2c4f7c"/>
          <w:sz w:val="22"/>
          <w:szCs w:val="22"/>
        </w:rPr>
        <w:t xml:space="preserve">Elimination / substitution</w:t>
      </w:r>
    </w:p>
    <w:p>
      <w:pPr>
        <w:spacing w:after="40" w:before="40"/>
      </w:pPr>
      <w:r>
        <w:rPr>
          <w:sz w:val="20"/>
          <w:szCs w:val="20"/>
        </w:rPr>
        <w:t xml:space="preserve">- Not practicable — the oil grade is specified by the engine manufacturer</w:t>
      </w:r>
    </w:p>
    <w:p>
      <w:pPr>
        <w:keepNext/>
        <w:keepLines/>
        <w:spacing w:after="80" w:before="200"/>
      </w:pPr>
      <w:r>
        <w:rPr>
          <w:b/>
          <w:bCs/>
          <w:color w:val="2c4f7c"/>
          <w:sz w:val="22"/>
          <w:szCs w:val="22"/>
        </w:rPr>
        <w:t xml:space="preserve">Engineering controls</w:t>
      </w:r>
    </w:p>
    <w:p>
      <w:pPr>
        <w:spacing w:after="40" w:before="40"/>
        <w:ind w:left="200" w:hanging="200"/>
      </w:pPr>
      <w:r>
        <w:rPr>
          <w:sz w:val="20"/>
          <w:szCs w:val="20"/>
        </w:rPr>
        <w:t xml:space="preserve">•  Drain pan and funnel for every oil change</w:t>
      </w:r>
    </w:p>
    <w:p>
      <w:pPr>
        <w:spacing w:after="40" w:before="40"/>
        <w:ind w:left="200" w:hanging="200"/>
      </w:pPr>
      <w:r>
        <w:rPr>
          <w:sz w:val="20"/>
          <w:szCs w:val="20"/>
        </w:rPr>
        <w:t xml:space="preserve">•  Bunded storage in the COSHH cabinet</w:t>
      </w:r>
    </w:p>
    <w:p>
      <w:pPr>
        <w:spacing w:after="40" w:before="40"/>
        <w:ind w:left="200" w:hanging="200"/>
      </w:pPr>
      <w:r>
        <w:rPr>
          <w:sz w:val="20"/>
          <w:szCs w:val="20"/>
        </w:rPr>
        <w:t xml:space="preserve">•  Spill kit within reach of the working position</w:t>
      </w:r>
    </w:p>
    <w:p>
      <w:pPr>
        <w:keepNext/>
        <w:keepLines/>
        <w:spacing w:after="80" w:before="200"/>
      </w:pPr>
      <w:r>
        <w:rPr>
          <w:b/>
          <w:bCs/>
          <w:color w:val="2c4f7c"/>
          <w:sz w:val="22"/>
          <w:szCs w:val="22"/>
        </w:rPr>
        <w:t xml:space="preserve">Administrative controls</w:t>
      </w:r>
    </w:p>
    <w:p>
      <w:pPr>
        <w:spacing w:after="40" w:before="40"/>
        <w:ind w:left="200" w:hanging="200"/>
      </w:pPr>
      <w:r>
        <w:rPr>
          <w:sz w:val="20"/>
          <w:szCs w:val="20"/>
        </w:rPr>
        <w:t xml:space="preserve">•  No hand-washing in oil or solvent — soap and water only</w:t>
      </w:r>
    </w:p>
    <w:p>
      <w:pPr>
        <w:spacing w:after="40" w:before="40"/>
        <w:ind w:left="200" w:hanging="200"/>
      </w:pPr>
      <w:r>
        <w:rPr>
          <w:sz w:val="20"/>
          <w:szCs w:val="20"/>
        </w:rPr>
        <w:t xml:space="preserve">•  Skin checks form part of the health-surveillance conversation under SOP 8.7</w:t>
      </w:r>
    </w:p>
    <w:p>
      <w:pPr>
        <w:spacing w:after="40" w:before="40"/>
        <w:ind w:left="200" w:hanging="200"/>
      </w:pPr>
      <w:r>
        <w:rPr>
          <w:sz w:val="20"/>
          <w:szCs w:val="20"/>
        </w:rPr>
        <w:t xml:space="preserve">•  Used oil never decanted into unmarked containers</w:t>
      </w:r>
    </w:p>
    <w:p>
      <w:pPr>
        <w:keepNext/>
        <w:keepLines/>
        <w:spacing w:after="80" w:before="200"/>
      </w:pPr>
      <w:r>
        <w:rPr>
          <w:b/>
          <w:bCs/>
          <w:color w:val="2c4f7c"/>
          <w:sz w:val="22"/>
          <w:szCs w:val="22"/>
        </w:rPr>
        <w:t xml:space="preserve">Personal Protective Equipment (PPE)</w:t>
      </w:r>
    </w:p>
    <w:p>
      <w:pPr>
        <w:keepNext/>
        <w:keepLines/>
        <w:pBdr>
          <w:bottom w:val="single" w:color="6499c7" w:sz="8" w:space="4"/>
        </w:pBdr>
        <w:spacing w:after="120" w:before="360"/>
      </w:pPr>
      <w:r>
        <w:rPr>
          <w:b/>
          <w:bCs/>
          <w:color w:val="1e3a5f"/>
          <w:sz w:val="26"/>
          <w:szCs w:val="26"/>
        </w:rPr>
        <w:t xml:space="preserve">8. Storage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838"/>
      </w:tblGrid>
      <w:tr>
        <w:trPr>
          <w:cantSplit/>
        </w:trPr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b/>
                <w:bCs/>
                <w:color w:val="0f1f33"/>
                <w:sz w:val="20"/>
                <w:szCs w:val="20"/>
              </w:rPr>
              <w:t xml:space="preserve">Temperature</w:t>
            </w:r>
          </w:p>
        </w:tc>
        <w:tc>
          <w:tcPr>
            <w:tcW w:type="dxa" w:w="68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>Ambient</w:t>
            </w:r>
          </w:p>
        </w:tc>
      </w:tr>
      <w:tr>
        <w:trPr>
          <w:cantSplit/>
        </w:trPr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b/>
                <w:bCs/>
                <w:color w:val="0f1f33"/>
                <w:sz w:val="20"/>
                <w:szCs w:val="20"/>
              </w:rPr>
              <w:t xml:space="preserve">Location</w:t>
            </w:r>
          </w:p>
        </w:tc>
        <w:tc>
          <w:tcPr>
            <w:tcW w:type="dxa" w:w="68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>Yard COSHH cabinet, bunded</w:t>
            </w:r>
          </w:p>
        </w:tc>
      </w:tr>
      <w:tr>
        <w:trPr>
          <w:cantSplit/>
        </w:trPr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b/>
                <w:bCs/>
                <w:color w:val="0f1f33"/>
                <w:sz w:val="20"/>
                <w:szCs w:val="20"/>
              </w:rPr>
              <w:t xml:space="preserve">Avoid</w:t>
            </w:r>
          </w:p>
        </w:tc>
        <w:tc>
          <w:tcPr>
            <w:tcW w:type="dxa" w:w="68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>Strong oxidisers; contact with food and drink</w:t>
            </w:r>
          </w:p>
        </w:tc>
      </w:tr>
      <w:tr>
        <w:trPr>
          <w:cantSplit/>
        </w:trPr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b/>
                <w:bCs/>
                <w:color w:val="0f1f33"/>
                <w:sz w:val="20"/>
                <w:szCs w:val="20"/>
              </w:rPr>
              <w:t xml:space="preserve">Container</w:t>
            </w:r>
          </w:p>
        </w:tc>
        <w:tc>
          <w:tcPr>
            <w:tcW w:type="dxa" w:w="68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>Original container, closed, clearly labelled</w:t>
            </w:r>
          </w:p>
        </w:tc>
      </w:tr>
    </w:tbl>
    <w:p>
      <w:pPr>
        <w:keepNext/>
        <w:keepLines/>
        <w:pBdr>
          <w:bottom w:val="single" w:color="6499c7" w:sz="8" w:space="4"/>
        </w:pBdr>
        <w:spacing w:after="120" w:before="360"/>
      </w:pPr>
      <w:r>
        <w:rPr>
          <w:b/>
          <w:bCs/>
          <w:color w:val="1e3a5f"/>
          <w:sz w:val="26"/>
          <w:szCs w:val="26"/>
        </w:rPr>
        <w:t xml:space="preserve">9. Emergency Procedures</w:t>
      </w:r>
    </w:p>
    <w:p>
      <w:pPr>
        <w:keepNext/>
        <w:keepLines/>
        <w:spacing w:after="80" w:before="200"/>
      </w:pPr>
      <w:r>
        <w:rPr>
          <w:b/>
          <w:bCs/>
          <w:color w:val="2c4f7c"/>
          <w:sz w:val="22"/>
          <w:szCs w:val="22"/>
        </w:rPr>
        <w:t xml:space="preserve">First aid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7438"/>
      </w:tblGrid>
      <w:tr>
        <w:trPr>
          <w:tblHeader/>
        </w:trP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e3a5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Route</w:t>
            </w:r>
          </w:p>
        </w:tc>
        <w:tc>
          <w:tcPr>
            <w:tcW w:type="dxa" w:w="7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e3a5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Action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b/>
                <w:bCs/>
                <w:color w:val="0f1f33"/>
                <w:sz w:val="20"/>
                <w:szCs w:val="20"/>
              </w:rPr>
              <w:t xml:space="preserve">Eyes</w:t>
            </w:r>
          </w:p>
        </w:tc>
        <w:tc>
          <w:tcPr>
            <w:tcW w:type="dxa" w:w="7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>Rinse with clean water for several minutes, eyelids held open. Get medical advice if irritation persists.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b/>
                <w:bCs/>
                <w:color w:val="0f1f33"/>
                <w:sz w:val="20"/>
                <w:szCs w:val="20"/>
              </w:rPr>
              <w:t xml:space="preserve">Skin</w:t>
            </w:r>
          </w:p>
        </w:tc>
        <w:tc>
          <w:tcPr>
            <w:tcW w:type="dxa" w:w="7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>Wash with soap and water. Do not use solvent or abrasive hand cleaner. Remove contaminated clothing and wash it before reuse. The product is a skin irritant — get medical advice if irritation continues after washing.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b/>
                <w:bCs/>
                <w:color w:val="0f1f33"/>
                <w:sz w:val="20"/>
                <w:szCs w:val="20"/>
              </w:rPr>
              <w:t xml:space="preserve">Inhalation</w:t>
            </w:r>
          </w:p>
        </w:tc>
        <w:tc>
          <w:tcPr>
            <w:tcW w:type="dxa" w:w="7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>Not applicable in normal use. Move to fresh air if mist has been generated.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b/>
                <w:bCs/>
                <w:color w:val="0f1f33"/>
                <w:sz w:val="20"/>
                <w:szCs w:val="20"/>
              </w:rPr>
              <w:t xml:space="preserve">Ingestion</w:t>
            </w:r>
          </w:p>
        </w:tc>
        <w:tc>
          <w:tcPr>
            <w:tcW w:type="dxa" w:w="7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>Rinse mouth. Do not induce vomiting. Seek medical advice.</w:t>
            </w:r>
          </w:p>
        </w:tc>
      </w:tr>
    </w:tbl>
    <w:p>
      <w:pPr>
        <w:keepNext/>
        <w:keepLines/>
        <w:spacing w:after="80" w:before="200"/>
      </w:pPr>
      <w:r>
        <w:rPr>
          <w:b/>
          <w:bCs/>
          <w:color w:val="2c4f7c"/>
          <w:sz w:val="22"/>
          <w:szCs w:val="22"/>
        </w:rPr>
        <w:t xml:space="preserve">Spillage</w:t>
      </w:r>
    </w:p>
    <w:p>
      <w:pPr>
        <w:spacing w:after="40" w:before="40"/>
      </w:pPr>
      <w:r>
        <w:rPr>
          <w:sz w:val="20"/>
          <w:szCs w:val="20"/>
        </w:rPr>
        <w:t xml:space="preserve">Absorb with proprietary oil absorbent or sand. Protect the nearest drain first. The product is H411 — toxic to aquatic life with long lasting effects, so any release reaching the yard gully, a drain or a watercourse is a reportable environmental incident: report on FORM_ENV_01 and notify the Environment Agency incident hotline 0800 80 70 60. Dispose of the absorbent as hazardous waste. See SOP 9.3.</w:t>
      </w:r>
    </w:p>
    <w:p>
      <w:pPr>
        <w:keepNext/>
        <w:keepLines/>
        <w:spacing w:after="80" w:before="200"/>
      </w:pPr>
      <w:r>
        <w:rPr>
          <w:b/>
          <w:bCs/>
          <w:color w:val="2c4f7c"/>
          <w:sz w:val="22"/>
          <w:szCs w:val="22"/>
        </w:rPr>
        <w:t xml:space="preserve">Fire</w:t>
      </w:r>
    </w:p>
    <w:p>
      <w:pPr>
        <w:spacing w:after="40" w:before="40"/>
      </w:pPr>
      <w:r>
        <w:rPr>
          <w:sz w:val="20"/>
          <w:szCs w:val="20"/>
        </w:rPr>
        <w:t xml:space="preserve">Combustible when heated. Foam, dry powder or CO₂. Do not use a water jet.</w:t>
      </w:r>
    </w:p>
    <w:p>
      <w:pPr>
        <w:keepNext/>
        <w:keepLines/>
        <w:spacing w:after="80" w:before="200"/>
      </w:pPr>
      <w:r>
        <w:rPr>
          <w:b/>
          <w:bCs/>
          <w:color w:val="2c4f7c"/>
          <w:sz w:val="22"/>
          <w:szCs w:val="22"/>
        </w:rPr>
        <w:t xml:space="preserve">Emergency contacts</w:t>
      </w:r>
    </w:p>
    <w:p>
      <w:pPr>
        <w:spacing w:after="40" w:before="40"/>
        <w:ind w:left="200" w:hanging="200"/>
      </w:pPr>
      <w:r>
        <w:rPr>
          <w:sz w:val="20"/>
          <w:szCs w:val="20"/>
        </w:rPr>
        <w:t xml:space="preserve">•  Emergency services: 999</w:t>
      </w:r>
    </w:p>
    <w:p>
      <w:pPr>
        <w:spacing w:after="40" w:before="40"/>
        <w:ind w:left="200" w:hanging="200"/>
      </w:pPr>
      <w:r>
        <w:rPr>
          <w:sz w:val="20"/>
          <w:szCs w:val="20"/>
        </w:rPr>
        <w:t xml:space="preserve">•  NHS non-emergency: 111</w:t>
      </w:r>
    </w:p>
    <w:p>
      <w:pPr>
        <w:spacing w:after="40" w:before="40"/>
        <w:ind w:left="200" w:hanging="200"/>
      </w:pPr>
      <w:r>
        <w:rPr>
          <w:sz w:val="20"/>
          <w:szCs w:val="20"/>
        </w:rPr>
        <w:t xml:space="preserve">•  AMWS supervisor: Jason May</w:t>
      </w:r>
    </w:p>
    <w:p>
      <w:pPr>
        <w:spacing w:after="40" w:before="40"/>
        <w:ind w:left="200" w:hanging="200"/>
      </w:pPr>
      <w:r>
        <w:rPr>
          <w:sz w:val="20"/>
          <w:szCs w:val="20"/>
        </w:rPr>
        <w:t xml:space="preserve">•  HSQE support: Sean Ashton (Onyx Operations)</w:t>
      </w:r>
    </w:p>
    <w:p>
      <w:pPr>
        <w:spacing w:after="40" w:before="40"/>
        <w:ind w:left="200" w:hanging="200"/>
      </w:pPr>
      <w:r>
        <w:rPr>
          <w:sz w:val="20"/>
          <w:szCs w:val="20"/>
        </w:rPr>
        <w:t xml:space="preserve">•  Environment Agency incident hotline: 0800 80 70 60 — if product reaches a drain, ditch or watercourse</w:t>
      </w:r>
    </w:p>
    <w:p>
      <w:pPr>
        <w:keepNext/>
        <w:keepLines/>
        <w:pBdr>
          <w:bottom w:val="single" w:color="6499c7" w:sz="8" w:space="4"/>
        </w:pBdr>
        <w:spacing w:after="120" w:before="360"/>
      </w:pPr>
      <w:r>
        <w:rPr>
          <w:b/>
          <w:bCs/>
          <w:color w:val="1e3a5f"/>
          <w:sz w:val="26"/>
          <w:szCs w:val="26"/>
        </w:rPr>
        <w:t xml:space="preserve">10. Waste Disposal</w:t>
      </w:r>
    </w:p>
    <w:p>
      <w:pPr>
        <w:spacing w:after="40" w:before="40"/>
      </w:pPr>
      <w:r>
        <w:rPr>
          <w:sz w:val="20"/>
          <w:szCs w:val="20"/>
        </w:rPr>
        <w:t xml:space="preserve">Fresh oil: EWC 13 02 05*. Used oil: hazardous waste, EWC 13 02 05\* — authorised waste-oil contractor only, with a consignment note retained.</w:t>
      </w:r>
    </w:p>
    <w:p>
      <w:pPr>
        <w:keepNext/>
        <w:keepLines/>
        <w:pBdr>
          <w:bottom w:val="single" w:color="6499c7" w:sz="8" w:space="4"/>
        </w:pBdr>
        <w:spacing w:after="120" w:before="360"/>
      </w:pPr>
      <w:r>
        <w:rPr>
          <w:b/>
          <w:bCs/>
          <w:color w:val="1e3a5f"/>
          <w:sz w:val="26"/>
          <w:szCs w:val="26"/>
        </w:rPr>
        <w:t xml:space="preserve">11. Risk Rating</w:t>
      </w:r>
    </w:p>
    <w:p>
      <w:pPr>
        <w:spacing w:after="40" w:before="40"/>
      </w:pPr>
      <w:r>
        <w:rPr>
          <w:i/>
          <w:iCs/>
          <w:color w:val="595959"/>
          <w:sz w:val="18"/>
          <w:szCs w:val="18"/>
        </w:rPr>
        <w:t xml:space="preserve">Risk = Severity × Likelihood (S × L = R). See POL_HSQE_21 Risk Assessment policy for the full scoring matrix.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C000" w:color="auto" w:val="clear"/>
            <w:tcMar>
              <w:top w:type="dxa" w:w="120"/>
              <w:left w:type="dxa" w:w="160"/>
              <w:bottom w:type="dxa" w:w="120"/>
              <w:right w:type="dxa" w:w="160"/>
            </w:tcMar>
            <w:vAlign w:val="top"/>
          </w:tcPr>
          <w:p>
            <w:r>
              <w:rPr>
                <w:b/>
                <w:bCs/>
                <w:color w:val="0f1f33"/>
                <w:sz w:val="20"/>
                <w:szCs w:val="20"/>
              </w:rPr>
              <w:t xml:space="preserve">Before controls  —  Moderate</w:t>
            </w:r>
          </w:p>
        </w:tc>
        <w:tc>
          <w:tcPr>
            <w:tcW w:type="dxa" w:w="48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92D050" w:color="auto" w:val="clear"/>
            <w:tcMar>
              <w:top w:type="dxa" w:w="120"/>
              <w:left w:type="dxa" w:w="160"/>
              <w:bottom w:type="dxa" w:w="120"/>
              <w:right w:type="dxa" w:w="160"/>
            </w:tcMar>
            <w:vAlign w:val="top"/>
          </w:tcPr>
          <w:p>
            <w:r>
              <w:rPr>
                <w:b/>
                <w:bCs/>
                <w:color w:val="0f1f33"/>
                <w:sz w:val="20"/>
                <w:szCs w:val="20"/>
              </w:rPr>
              <w:t xml:space="preserve">With controls  —  Low (residual)</w:t>
            </w:r>
          </w:p>
        </w:tc>
      </w:tr>
    </w:tbl>
    <w:p>
      <w:pPr>
        <w:keepNext/>
        <w:keepLines/>
        <w:pBdr>
          <w:bottom w:val="single" w:color="6499c7" w:sz="8" w:space="4"/>
        </w:pBdr>
        <w:spacing w:after="120" w:before="360"/>
      </w:pPr>
      <w:r>
        <w:rPr>
          <w:b/>
          <w:bCs/>
          <w:color w:val="1e3a5f"/>
          <w:sz w:val="26"/>
          <w:szCs w:val="26"/>
        </w:rPr>
        <w:t xml:space="preserve">12. Training Requirements</w:t>
      </w:r>
    </w:p>
    <w:p>
      <w:pPr>
        <w:spacing w:after="40" w:before="40"/>
        <w:ind w:left="200" w:hanging="200"/>
      </w:pPr>
      <w:r>
        <w:rPr>
          <w:sz w:val="20"/>
          <w:szCs w:val="20"/>
        </w:rPr>
        <w:t xml:space="preserve">•  Safe handling and decanting</w:t>
      </w:r>
    </w:p>
    <w:p>
      <w:pPr>
        <w:spacing w:after="40" w:before="40"/>
        <w:ind w:left="200" w:hanging="200"/>
      </w:pPr>
      <w:r>
        <w:rPr>
          <w:sz w:val="20"/>
          <w:szCs w:val="20"/>
        </w:rPr>
        <w:t xml:space="preserve">•  Dermatitis awareness and skin checks</w:t>
      </w:r>
    </w:p>
    <w:p>
      <w:pPr>
        <w:spacing w:after="40" w:before="40"/>
        <w:ind w:left="200" w:hanging="200"/>
      </w:pPr>
      <w:r>
        <w:rPr>
          <w:sz w:val="20"/>
          <w:szCs w:val="20"/>
        </w:rPr>
        <w:t xml:space="preserve">•  Spill response — SOP 9.3</w:t>
      </w:r>
    </w:p>
    <w:p>
      <w:pPr>
        <w:spacing w:after="40" w:before="40"/>
        <w:ind w:left="200" w:hanging="200"/>
      </w:pPr>
      <w:r>
        <w:rPr>
          <w:sz w:val="20"/>
          <w:szCs w:val="20"/>
        </w:rPr>
        <w:t xml:space="preserve">•  Used-oil handling and the carcinogen risk</w:t>
      </w:r>
    </w:p>
    <w:p>
      <w:pPr>
        <w:keepNext/>
        <w:keepLines/>
        <w:pBdr>
          <w:bottom w:val="single" w:color="6499c7" w:sz="8" w:space="4"/>
        </w:pBdr>
        <w:spacing w:after="120" w:before="360"/>
      </w:pPr>
      <w:r>
        <w:rPr>
          <w:b/>
          <w:bCs/>
          <w:color w:val="1e3a5f"/>
          <w:sz w:val="26"/>
          <w:szCs w:val="26"/>
        </w:rPr>
        <w:t xml:space="preserve">13. Monitoring &amp; Review</w:t>
      </w:r>
    </w:p>
    <w:p>
      <w:pPr>
        <w:spacing w:after="40" w:before="40"/>
        <w:ind w:left="200" w:hanging="200"/>
      </w:pPr>
      <w:r>
        <w:rPr>
          <w:sz w:val="20"/>
          <w:szCs w:val="20"/>
        </w:rPr>
        <w:t xml:space="preserve">•  Weekly COSHH cabinet inspection by the Site Supervisor</w:t>
      </w:r>
    </w:p>
    <w:p>
      <w:pPr>
        <w:spacing w:after="40" w:before="40"/>
        <w:ind w:left="200" w:hanging="200"/>
      </w:pPr>
      <w:r>
        <w:rPr>
          <w:sz w:val="20"/>
          <w:szCs w:val="20"/>
        </w:rPr>
        <w:t xml:space="preserve">•  Annual COSHH review, or sooner on change of product, supplier or task</w:t>
      </w:r>
    </w:p>
    <w:p>
      <w:pPr>
        <w:spacing w:after="40" w:before="40"/>
        <w:ind w:left="200" w:hanging="200"/>
      </w:pPr>
      <w:r>
        <w:rPr>
          <w:sz w:val="20"/>
          <w:szCs w:val="20"/>
        </w:rPr>
        <w:t xml:space="preserve">•  Review immediately if the SDS obtained differs from the label classification recorded above</w:t>
      </w:r>
    </w:p>
    <w:p>
      <w:pPr>
        <w:keepNext/>
        <w:keepLines/>
        <w:pBdr>
          <w:bottom w:val="single" w:color="6499c7" w:sz="8" w:space="4"/>
        </w:pBdr>
        <w:spacing w:after="120" w:before="360"/>
      </w:pPr>
      <w:r>
        <w:rPr>
          <w:b/>
          <w:bCs/>
          <w:color w:val="1e3a5f"/>
          <w:sz w:val="26"/>
          <w:szCs w:val="26"/>
        </w:rPr>
        <w:t xml:space="preserve">14. References</w:t>
      </w:r>
    </w:p>
    <w:p>
      <w:pPr>
        <w:spacing w:after="40" w:before="40"/>
        <w:ind w:left="200" w:hanging="200"/>
      </w:pPr>
      <w:r>
        <w:rPr>
          <w:sz w:val="20"/>
          <w:szCs w:val="20"/>
        </w:rPr>
        <w:t xml:space="preserve">•  POL_HSQE_08 — COSHH Policy</w:t>
      </w:r>
    </w:p>
    <w:p>
      <w:pPr>
        <w:spacing w:after="40" w:before="40"/>
        <w:ind w:left="200" w:hanging="200"/>
      </w:pPr>
      <w:r>
        <w:rPr>
          <w:sz w:val="20"/>
          <w:szCs w:val="20"/>
        </w:rPr>
        <w:t xml:space="preserve">•  POL_HSQE_19 — Personal Protective Equipment (PPE) Policy</w:t>
      </w:r>
    </w:p>
    <w:p>
      <w:pPr>
        <w:spacing w:after="40" w:before="40"/>
        <w:ind w:left="200" w:hanging="200"/>
      </w:pPr>
      <w:r>
        <w:rPr>
          <w:sz w:val="20"/>
          <w:szCs w:val="20"/>
        </w:rPr>
        <w:t xml:space="preserve">•  SOP 8.5 — Hazardous Substances (COSHH)</w:t>
      </w:r>
    </w:p>
    <w:p>
      <w:pPr>
        <w:spacing w:after="40" w:before="40"/>
        <w:ind w:left="200" w:hanging="200"/>
      </w:pPr>
      <w:r>
        <w:rPr>
          <w:sz w:val="20"/>
          <w:szCs w:val="20"/>
        </w:rPr>
        <w:t xml:space="preserve">•  SOP 8.7 — Health Surveillance</w:t>
      </w:r>
    </w:p>
    <w:p>
      <w:pPr>
        <w:spacing w:after="40" w:before="40"/>
        <w:ind w:left="200" w:hanging="200"/>
      </w:pPr>
      <w:r>
        <w:rPr>
          <w:sz w:val="20"/>
          <w:szCs w:val="20"/>
        </w:rPr>
        <w:t xml:space="preserve">•  APP_09 — COSHH Assessments Log</w:t>
      </w:r>
    </w:p>
    <w:p>
      <w:pPr>
        <w:spacing w:after="40" w:before="40"/>
        <w:ind w:left="200" w:hanging="200"/>
      </w:pPr>
      <w:r>
        <w:rPr>
          <w:sz w:val="20"/>
          <w:szCs w:val="20"/>
        </w:rPr>
        <w:t xml:space="preserve">•  HSE COSHH Regulations 2002 (SI 2002/2677, as amended)</w:t>
      </w:r>
    </w:p>
    <w:p>
      <w:pPr>
        <w:spacing w:after="40" w:before="40"/>
        <w:ind w:left="200" w:hanging="200"/>
      </w:pPr>
      <w:r>
        <w:rPr>
          <w:sz w:val="20"/>
          <w:szCs w:val="20"/>
        </w:rPr>
        <w:t xml:space="preserve">•  HSE EH40/2005 Workplace Exposure Limits</w:t>
      </w:r>
    </w:p>
    <w:p>
      <w:pPr>
        <w:spacing w:after="40" w:before="40"/>
        <w:ind w:left="200" w:hanging="200"/>
      </w:pPr>
      <w:r>
        <w:rPr>
          <w:sz w:val="20"/>
          <w:szCs w:val="20"/>
        </w:rPr>
        <w:t xml:space="preserve">•  CLP Regulation (EC) No 1272/2008 (as retained in UK law)</w:t>
      </w:r>
    </w:p>
    <w:p>
      <w:pPr>
        <w:spacing w:after="0" w:before="480"/>
        <w:jc w:val="center"/>
      </w:pPr>
      <w:r>
        <w:rPr>
          <w:i/>
          <w:iCs/>
          <w:color w:val="595959"/>
          <w:sz w:val="18"/>
          <w:szCs w:val="18"/>
        </w:rPr>
        <w:t xml:space="preserve">This assessment must be reviewed annually or sooner if circumstances change. For the full management-system context (SOPs, Appendices, policies) see the AMWS IMS portal.</w:t>
      </w:r>
    </w:p>
    <w:sectPr>
      <w:headerReference w:type="default" r:id="rId7"/>
      <w:footerReference w:type="default" r:id="rId8"/>
      <w:pgSz w:w="11906" w:h="16838" w:orient="portrait"/>
      <w:pgMar w:top="1700" w:right="1134" w:bottom="1200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1e3a5f" w:sz="8" w:space="1"/>
      </w:pBdr>
      <w:spacing w:after="60" w:before="0"/>
    </w:pPr>
    <w:r>
      <w:t xml:space="preserve"/>
    </w:r>
  </w:p>
  <w:p>
    <w:pPr>
      <w:tabs>
        <w:tab w:val="right" w:pos="9638"/>
      </w:tabs>
    </w:pPr>
    <w:r>
      <w:rPr>
        <w:color w:val="595959"/>
        <w:sz w:val="16"/>
        <w:szCs w:val="16"/>
      </w:rPr>
      <w:t xml:space="preserve">COSHH_25 — Clarke Motor Oil SAE 10W/30 · Issue 2 · 25 September 2026</w:t>
    </w:r>
    <w:r>
      <w:rPr>
        <w:sz w:val="16"/>
        <w:szCs w:val="16"/>
      </w:rPr>
      <w:t xml:space="preserve">	</w:t>
    </w:r>
    <w:r>
      <w:rPr>
        <w:color w:val="595959"/>
        <w:sz w:val="16"/>
        <w:szCs w:val="16"/>
      </w:rPr>
      <w:t xml:space="preserve">Page </w:t>
    </w:r>
    <w:r>
      <w:rPr>
        <w:color w:val="59595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595959"/>
        <w:sz w:val="16"/>
        <w:szCs w:val="16"/>
      </w:rPr>
      <w:t xml:space="preserve"> of </w:t>
    </w:r>
    <w:r>
      <w:rPr>
        <w:color w:val="595959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60"/>
    </w:pPr>
    <w:r>
      <w:drawing>
        <wp:inline distT="0" distB="0" distL="0" distR="0">
          <wp:extent cx="1276350" cy="485775"/>
          <wp:effectExtent t="0" r="0" b="0" l="0"/>
          <wp:docPr id="1" name="amws-logo" descr="A M Water Services Ltd" title="AMW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6350" cy="4857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Bdr>
        <w:bottom w:val="single" w:color="1e3a5f" w:sz="12" w:space="1"/>
      </w:pBdr>
      <w:spacing w:after="0" w:before="0"/>
    </w:pPr>
    <w:r>
      <w:t xml:space="preserv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d2b6b118bf66158c8730411d5e7b60704c4e0338.jp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COSHH_25 — Clarke Motor Oil SAE 10W/30</dc:title>
  <dc:creator>Sean Ashton (Onyx Operations)</dc:creator>
  <dc:description>A M Water Services Ltd — Van Pack COSHH Assessment</dc:description>
  <cp:lastModifiedBy>Un-named</cp:lastModifiedBy>
  <cp:revision>1</cp:revision>
  <dcterms:created xsi:type="dcterms:W3CDTF">2026-05-28T10:28:04.705Z</dcterms:created>
  <dcterms:modified xsi:type="dcterms:W3CDTF">2026-05-28T10:28:04.705Z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