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120"/>
      </w:pPr>
      <w:r>
        <w:rPr>
          <w:b/>
          <w:bCs/>
          <w:caps/>
          <w:color w:val="2c4f7c"/>
          <w:spacing w:val="30"/>
          <w:sz w:val="22"/>
          <w:szCs w:val="22"/>
        </w:rPr>
        <w:t xml:space="preserve">COSHH Assessment</w:t>
      </w:r>
    </w:p>
    <w:p>
      <w:pPr>
        <w:spacing w:after="240" w:before="0"/>
      </w:pPr>
      <w:r>
        <w:rPr>
          <w:b/>
          <w:bCs/>
          <w:color w:val="1e3a5f"/>
          <w:sz w:val="40"/>
          <w:szCs w:val="40"/>
        </w:rPr>
        <w:t xml:space="preserve">Grundo-Oil (pneumatic mole / hammer lubricant)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3"/>
        <w:gridCol w:w="6425"/>
      </w:tblGrid>
      <w:tr>
        <w:trPr>
          <w:tblHeader/>
        </w:trPr>
        <w:tc>
          <w:tcPr>
            <w:tcW w:type="dxa" w:w="9638"/>
            <w:gridSpan w:val="2"/>
            <w:tcBorders>
              <w:top w:val="single" w:color="BFBFBF" w:sz="4"/>
              <w:left w:val="single" w:color="BFBFBF" w:sz="4"/>
              <w:bottom w:val="single" w:color="BFBFBF" w:sz="4"/>
              <w:right w:val="single" w:color="BFBFBF" w:sz="4"/>
            </w:tcBorders>
            <w:shd w:fill="1e3a5f" w:color="auto" w:val="clear"/>
            <w:tcMar>
              <w:top w:type="dxa" w:w="120"/>
              <w:left w:type="dxa" w:w="160"/>
              <w:bottom w:type="dxa" w:w="120"/>
              <w:right w:type="dxa" w:w="160"/>
            </w:tcMar>
            <w:vAlign w:val="top"/>
          </w:tcPr>
          <w:p>
            <w:r>
              <w:rPr>
                <w:b/>
                <w:bCs/>
                <w:caps/>
                <w:color w:val="FFFFFF"/>
                <w:spacing w:val="40"/>
                <w:sz w:val="22"/>
                <w:szCs w:val="22"/>
              </w:rPr>
              <w:t xml:space="preserve">Document Information</w:t>
            </w:r>
          </w:p>
        </w:tc>
      </w:tr>
      <w:tr>
        <w:tc>
          <w:tcPr>
            <w:tcW w:type="dxa" w:w="3213"/>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Document Reference</w:t>
            </w:r>
          </w:p>
        </w:tc>
        <w:tc>
          <w:tcPr>
            <w:tcW w:type="dxa" w:w="6425"/>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COSHH_26</w:t>
            </w:r>
          </w:p>
        </w:tc>
      </w:tr>
      <w:tr>
        <w:tc>
          <w:tcPr>
            <w:tcW w:type="dxa" w:w="3213"/>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Issue Number</w:t>
            </w:r>
          </w:p>
        </w:tc>
        <w:tc>
          <w:tcPr>
            <w:tcW w:type="dxa" w:w="6425"/>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1</w:t>
            </w:r>
          </w:p>
        </w:tc>
      </w:tr>
      <w:tr>
        <w:tc>
          <w:tcPr>
            <w:tcW w:type="dxa" w:w="3213"/>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Issue Date</w:t>
            </w:r>
          </w:p>
        </w:tc>
        <w:tc>
          <w:tcPr>
            <w:tcW w:type="dxa" w:w="6425"/>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8 September 2026</w:t>
            </w:r>
          </w:p>
        </w:tc>
      </w:tr>
      <w:tr>
        <w:tc>
          <w:tcPr>
            <w:tcW w:type="dxa" w:w="3213"/>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Next Review</w:t>
            </w:r>
          </w:p>
        </w:tc>
        <w:tc>
          <w:tcPr>
            <w:tcW w:type="dxa" w:w="6425"/>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1 June 2027</w:t>
            </w:r>
          </w:p>
        </w:tc>
      </w:tr>
      <w:tr>
        <w:tc>
          <w:tcPr>
            <w:tcW w:type="dxa" w:w="3213"/>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Assessor</w:t>
            </w:r>
          </w:p>
        </w:tc>
        <w:tc>
          <w:tcPr>
            <w:tcW w:type="dxa" w:w="6425"/>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Sean Ashton (Onyx Operations)</w:t>
            </w:r>
          </w:p>
        </w:tc>
      </w:tr>
      <w:tr>
        <w:tc>
          <w:tcPr>
            <w:tcW w:type="dxa" w:w="3213"/>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Approved By</w:t>
            </w:r>
          </w:p>
        </w:tc>
        <w:tc>
          <w:tcPr>
            <w:tcW w:type="dxa" w:w="6425"/>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Aaron Mason, Director</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6499c7" w:sz="4"/>
              <w:left w:val="single" w:color="1e3a5f" w:sz="12"/>
              <w:bottom w:val="single" w:color="6499c7" w:sz="4"/>
              <w:right w:val="single" w:color="6499c7" w:sz="4"/>
            </w:tcBorders>
            <w:shd w:fill="F2F2F2" w:color="auto" w:val="clear"/>
            <w:tcMar>
              <w:top w:type="dxa" w:w="140"/>
              <w:left w:type="dxa" w:w="200"/>
              <w:bottom w:type="dxa" w:w="140"/>
              <w:right w:type="dxa" w:w="200"/>
            </w:tcMar>
            <w:vAlign w:val="top"/>
          </w:tcPr>
          <w:p>
            <w:pPr>
              <w:spacing w:after="80" w:before="0"/>
            </w:pPr>
            <w:r>
              <w:rPr>
                <w:b/>
                <w:bCs/>
                <w:color w:val="1e3a5f"/>
                <w:sz w:val="22"/>
                <w:szCs w:val="22"/>
              </w:rPr>
              <w:t xml:space="preserve">Key references</w:t>
            </w:r>
          </w:p>
          <w:p>
            <w:pPr>
              <w:spacing w:after="40" w:before="40"/>
              <w:ind w:left="200" w:hanging="200"/>
            </w:pPr>
            <w:r>
              <w:rPr>
                <w:sz w:val="20"/>
                <w:szCs w:val="20"/>
              </w:rPr>
              <w:t xml:space="preserve">▸  GRUNDO-OIL-TT-Technologies-206115-USA-version.pdf — Manufacturer Safety Data Sheet</w:t>
            </w:r>
          </w:p>
          <w:p>
            <w:pPr>
              <w:spacing w:after="40" w:before="40"/>
              <w:ind w:left="200" w:hanging="200"/>
            </w:pPr>
            <w:r>
              <w:rPr>
                <w:sz w:val="20"/>
                <w:szCs w:val="20"/>
              </w:rPr>
              <w:t xml:space="preserve">▸  TT Technologies sheet for GRUNDO-OIL, material 206115, version 2-0/USA of 22/04/2015, filed 27/09/2026. The manufacturer's own sheet, agreeing with the container label on the polyethylene glycol base and on the product being not classified. The EU sheet against GRU2002311 and GRU2002317 has been requested from TRACTO-TECHNIK for 31/10/2026.</w:t>
            </w:r>
          </w:p>
          <w:p>
            <w:pPr>
              <w:spacing w:after="40" w:before="40"/>
              <w:ind w:left="200" w:hanging="200"/>
            </w:pPr>
            <w:r>
              <w:rPr>
                <w:sz w:val="20"/>
                <w:szCs w:val="20"/>
              </w:rPr>
              <w:t xml:space="preserve">▸  Van Packs portal — COSHH section — synchronised copy carried by every operative</w:t>
            </w:r>
          </w:p>
        </w:tc>
      </w:tr>
    </w:tbl>
    <w:p>
      <w:pPr>
        <w:spacing w:after="0" w:before="200"/>
      </w:pPr>
    </w:p>
    <w:p>
      <w:pPr>
        <w:keepNext/>
        <w:keepLines/>
        <w:pBdr>
          <w:bottom w:val="single" w:color="6499c7" w:sz="8" w:space="4"/>
        </w:pBdr>
        <w:spacing w:after="120" w:before="360"/>
      </w:pPr>
      <w:r>
        <w:rPr>
          <w:b/>
          <w:bCs/>
          <w:color w:val="1e3a5f"/>
          <w:sz w:val="26"/>
          <w:szCs w:val="26"/>
        </w:rPr>
        <w:t xml:space="preserve">1. Product Identification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00"/>
        <w:gridCol w:w="6838"/>
      </w:tblGrid>
      <w:tr>
        <w:trPr>
          <w:cantSplit/>
        </w:trPr>
        <w:tc>
          <w:tcPr>
            <w:tcW w:type="dxa" w:w="28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Product name</w:t>
            </w:r>
          </w:p>
        </w:tc>
        <w:tc>
          <w:tcPr>
            <w:tcW w:type="dxa" w:w="6838"/>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TRACTO GRUNDO-OIL — lubricant for GRUNDOMAT and GRUNDORAM, part GRU2002311 (5 l) / GRU2002317 (25 l)</w:t>
            </w:r>
          </w:p>
        </w:tc>
      </w:tr>
      <w:tr>
        <w:trPr>
          <w:cantSplit/>
        </w:trPr>
        <w:tc>
          <w:tcPr>
            <w:tcW w:type="dxa" w:w="28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Supplier</w:t>
            </w:r>
          </w:p>
        </w:tc>
        <w:tc>
          <w:tcPr>
            <w:tcW w:type="dxa" w:w="6838"/>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TRACTO-TECHNIK GmbH &amp; Co. KG, Paul-Schmidt-Strasse 2, 57368 Lennestadt, Germany</w:t>
            </w:r>
          </w:p>
        </w:tc>
      </w:tr>
      <w:tr>
        <w:trPr>
          <w:cantSplit/>
        </w:trPr>
        <w:tc>
          <w:tcPr>
            <w:tcW w:type="dxa" w:w="28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Active ingredients / CAS</w:t>
            </w:r>
          </w:p>
        </w:tc>
        <w:tc>
          <w:tcPr>
            <w:tcW w:type="dxa" w:w="6838"/>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Polyethylene glycol, with less than 5% anionic surfactant. Water-soluble. Read from the container label photographed 24/09/2026. The manufacturer’s own safety data sheet gives the same base, polyethylene glycol of mean molecular weight 200 to 600</w:t>
            </w:r>
          </w:p>
        </w:tc>
      </w:tr>
      <w:tr>
        <w:trPr>
          <w:cantSplit/>
        </w:trPr>
        <w:tc>
          <w:tcPr>
            <w:tcW w:type="dxa" w:w="28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Physical form</w:t>
            </w:r>
          </w:p>
        </w:tc>
        <w:tc>
          <w:tcPr>
            <w:tcW w:type="dxa" w:w="6838"/>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Liquid</w:t>
            </w:r>
          </w:p>
        </w:tc>
      </w:tr>
      <w:tr>
        <w:trPr>
          <w:cantSplit/>
        </w:trPr>
        <w:tc>
          <w:tcPr>
            <w:tcW w:type="dxa" w:w="28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Appearance / odour</w:t>
            </w:r>
          </w:p>
        </w:tc>
        <w:tc>
          <w:tcPr>
            <w:tcW w:type="dxa" w:w="6838"/>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Light amber oil, mild hydrocarbon odour</w:t>
            </w:r>
          </w:p>
        </w:tc>
      </w:tr>
      <w:tr>
        <w:trPr>
          <w:cantSplit/>
        </w:trPr>
        <w:tc>
          <w:tcPr>
            <w:tcW w:type="dxa" w:w="28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Use</w:t>
            </w:r>
          </w:p>
        </w:tc>
        <w:tc>
          <w:tcPr>
            <w:tcW w:type="dxa" w:w="6838"/>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In-line lubrication of GRUNDOMAT / GRUNDORAM pneumatic soil-displacement hammers used on moling and thrust-boring work</w:t>
            </w:r>
          </w:p>
        </w:tc>
      </w:tr>
      <w:tr>
        <w:trPr>
          <w:cantSplit/>
        </w:trPr>
        <w:tc>
          <w:tcPr>
            <w:tcW w:type="dxa" w:w="28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Location</w:t>
            </w:r>
          </w:p>
        </w:tc>
        <w:tc>
          <w:tcPr>
            <w:tcW w:type="dxa" w:w="6838"/>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Jason May's COSHH cabinet, AMWS yard</w:t>
            </w:r>
          </w:p>
        </w:tc>
      </w:tr>
    </w:tbl>
    <w:p>
      <w:pPr>
        <w:pBdr>
          <w:bottom w:val="single" w:color="6499c7" w:sz="8" w:space="4"/>
        </w:pBdr>
        <w:spacing w:after="120" w:before="360"/>
      </w:pPr>
      <w:r>
        <w:rPr>
          <w:b/>
          <w:bCs/>
          <w:color w:val="1e3a5f"/>
          <w:sz w:val="26"/>
          <w:szCs w:val="26"/>
        </w:rPr>
        <w:t xml:space="preserve">2. Hazard Classification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F0B900" w:sz="4"/>
              <w:left w:val="single" w:color="F0B900" w:sz="12"/>
              <w:bottom w:val="single" w:color="F0B900" w:sz="4"/>
              <w:right w:val="single" w:color="F0B900" w:sz="4"/>
            </w:tcBorders>
            <w:shd w:fill="FFF8E1" w:color="auto" w:val="clear"/>
            <w:tcMar>
              <w:top w:type="dxa" w:w="140"/>
              <w:left w:type="dxa" w:w="200"/>
              <w:bottom w:type="dxa" w:w="140"/>
              <w:right w:type="dxa" w:w="200"/>
            </w:tcMar>
            <w:vAlign w:val="top"/>
          </w:tcPr>
          <w:p>
            <w:pPr>
              <w:spacing w:after="40" w:before="0"/>
            </w:pPr>
            <w:r>
              <w:rPr>
                <w:b/>
                <w:bCs/>
                <w:sz w:val="20"/>
                <w:szCs w:val="20"/>
              </w:rPr>
              <w:t xml:space="preserve">Overall classification: </w:t>
            </w:r>
            <w:r>
              <w:rPr>
                <w:sz w:val="20"/>
                <w:szCs w:val="20"/>
              </w:rPr>
              <w:t xml:space="preserve">To be confirmed from the SDS. Pneumatic tool oils of this type are typically either unclassified or classified for aspiration toxicity depending on viscosity.</w:t>
            </w:r>
          </w:p>
          <w:p>
            <w:pPr>
              <w:spacing w:after="40" w:before="40"/>
            </w:pPr>
            <w:r>
              <w:rPr>
                <w:b/>
                <w:bCs/>
                <w:sz w:val="20"/>
                <w:szCs w:val="20"/>
              </w:rPr>
              <w:t xml:space="preserve">Signal word: </w:t>
            </w:r>
            <w:r>
              <w:rPr>
                <w:sz w:val="20"/>
                <w:szCs w:val="20"/>
              </w:rPr>
              <w:t xml:space="preserve">None required — the manufacturer classifies the product as not a hazardous substance or mixture, and the container label carries no signal word and no pictogram</w:t>
            </w:r>
          </w:p>
          <w:p>
            <w:pPr>
              <w:spacing w:after="40" w:before="120"/>
            </w:pPr>
            <w:r>
              <w:rPr>
                <w:b/>
                <w:bCs/>
                <w:color w:val="2c4f7c"/>
                <w:sz w:val="20"/>
                <w:szCs w:val="20"/>
              </w:rPr>
              <w:t xml:space="preserve">Hazard statements (H-codes)</w:t>
            </w:r>
          </w:p>
          <w:p>
            <w:pPr>
              <w:spacing w:after="40" w:before="40"/>
              <w:ind w:left="200" w:hanging="200"/>
            </w:pPr>
            <w:r>
              <w:rPr>
                <w:b/>
                <w:bCs/>
                <w:sz w:val="20"/>
                <w:szCs w:val="20"/>
              </w:rPr>
              <w:t xml:space="preserve">—  </w:t>
            </w:r>
            <w:r>
              <w:rPr>
                <w:sz w:val="20"/>
                <w:szCs w:val="20"/>
              </w:rPr>
              <w:t xml:space="preserve">Not classified as hazardous in the supplied form</w:t>
            </w:r>
          </w:p>
          <w:p>
            <w:pPr>
              <w:spacing w:after="40" w:before="120"/>
            </w:pPr>
            <w:r>
              <w:rPr>
                <w:b/>
                <w:bCs/>
                <w:color w:val="2c4f7c"/>
                <w:sz w:val="20"/>
                <w:szCs w:val="20"/>
              </w:rPr>
              <w:t xml:space="preserve">Precautionary statements (P-codes)</w:t>
            </w:r>
          </w:p>
          <w:p>
            <w:pPr>
              <w:spacing w:after="40" w:before="40"/>
              <w:ind w:left="200" w:hanging="200"/>
            </w:pPr>
            <w:r>
              <w:rPr>
                <w:b/>
                <w:bCs/>
                <w:sz w:val="20"/>
                <w:szCs w:val="20"/>
              </w:rPr>
              <w:t xml:space="preserve">P262  </w:t>
            </w:r>
            <w:r>
              <w:rPr>
                <w:sz w:val="20"/>
                <w:szCs w:val="20"/>
              </w:rPr>
              <w:t xml:space="preserve">Do not get in eyes, on skin or on clothing.</w:t>
            </w:r>
          </w:p>
          <w:p>
            <w:pPr>
              <w:spacing w:after="40" w:before="40"/>
              <w:ind w:left="200" w:hanging="200"/>
            </w:pPr>
            <w:r>
              <w:rPr>
                <w:b/>
                <w:bCs/>
                <w:sz w:val="20"/>
                <w:szCs w:val="20"/>
              </w:rPr>
              <w:t xml:space="preserve">P280  </w:t>
            </w:r>
            <w:r>
              <w:rPr>
                <w:sz w:val="20"/>
                <w:szCs w:val="20"/>
              </w:rPr>
              <w:t xml:space="preserve">Wear protective gloves and eye protection.</w:t>
            </w:r>
          </w:p>
          <w:p>
            <w:pPr>
              <w:spacing w:after="40" w:before="40"/>
              <w:ind w:left="200" w:hanging="200"/>
            </w:pPr>
            <w:r>
              <w:rPr>
                <w:b/>
                <w:bCs/>
                <w:sz w:val="20"/>
                <w:szCs w:val="20"/>
              </w:rPr>
              <w:t xml:space="preserve">P273  </w:t>
            </w:r>
            <w:r>
              <w:rPr>
                <w:sz w:val="20"/>
                <w:szCs w:val="20"/>
              </w:rPr>
              <w:t xml:space="preserve">Avoid release to the environment.</w:t>
            </w:r>
          </w:p>
          <w:p>
            <w:pPr>
              <w:spacing w:after="40" w:before="40"/>
              <w:ind w:left="200" w:hanging="200"/>
            </w:pPr>
            <w:r>
              <w:rPr>
                <w:b/>
                <w:bCs/>
                <w:sz w:val="20"/>
                <w:szCs w:val="20"/>
              </w:rPr>
              <w:t xml:space="preserve">P501  </w:t>
            </w:r>
            <w:r>
              <w:rPr>
                <w:sz w:val="20"/>
                <w:szCs w:val="20"/>
              </w:rPr>
              <w:t xml:space="preserve">Dispose to an authorised waste-oil contractor.</w:t>
            </w:r>
          </w:p>
        </w:tc>
      </w:tr>
    </w:tbl>
    <w:p>
      <w:pPr>
        <w:keepNext/>
        <w:keepLines/>
        <w:pBdr>
          <w:bottom w:val="single" w:color="6499c7" w:sz="8" w:space="4"/>
        </w:pBdr>
        <w:spacing w:after="120" w:before="360"/>
      </w:pPr>
      <w:r>
        <w:rPr>
          <w:b/>
          <w:bCs/>
          <w:color w:val="1e3a5f"/>
          <w:sz w:val="26"/>
          <w:szCs w:val="26"/>
        </w:rPr>
        <w:t xml:space="preserve">3. Persons at Risk</w:t>
      </w:r>
    </w:p>
    <w:p>
      <w:pPr>
        <w:keepNext/>
        <w:keepLines/>
        <w:pBdr>
          <w:bottom w:val="single" w:color="6499c7" w:sz="8" w:space="4"/>
        </w:pBdr>
        <w:spacing w:after="120" w:before="360"/>
      </w:pPr>
      <w:r>
        <w:rPr>
          <w:b/>
          <w:bCs/>
          <w:color w:val="1e3a5f"/>
          <w:sz w:val="26"/>
          <w:szCs w:val="26"/>
        </w:rPr>
        <w:t xml:space="preserve">4. Routes of Exposure</w:t>
      </w:r>
    </w:p>
    <w:p>
      <w:pPr>
        <w:spacing w:after="40" w:before="40"/>
        <w:ind w:left="200" w:hanging="200"/>
      </w:pPr>
      <w:r>
        <w:rPr>
          <w:sz w:val="20"/>
          <w:szCs w:val="20"/>
        </w:rPr>
        <w:t xml:space="preserve">•  Inhalation: The significant route for this product. Pneumatic tools exhaust an oil mist at the tool and at the airline connections</w:t>
      </w:r>
    </w:p>
    <w:p>
      <w:pPr>
        <w:spacing w:after="40" w:before="40"/>
        <w:ind w:left="200" w:hanging="200"/>
      </w:pPr>
      <w:r>
        <w:rPr>
          <w:sz w:val="20"/>
          <w:szCs w:val="20"/>
        </w:rPr>
        <w:t xml:space="preserve">•  Skin contact: Repeated contact causes dermatitis</w:t>
      </w:r>
    </w:p>
    <w:p>
      <w:pPr>
        <w:spacing w:after="40" w:before="40"/>
        <w:ind w:left="200" w:hanging="200"/>
      </w:pPr>
      <w:r>
        <w:rPr>
          <w:sz w:val="20"/>
          <w:szCs w:val="20"/>
        </w:rPr>
        <w:t xml:space="preserve">•  Eye contact: Mist and pressurised release can carry oil to the eyes</w:t>
      </w:r>
    </w:p>
    <w:p>
      <w:pPr>
        <w:spacing w:after="40" w:before="40"/>
        <w:ind w:left="200" w:hanging="200"/>
      </w:pPr>
      <w:r>
        <w:rPr>
          <w:sz w:val="20"/>
          <w:szCs w:val="20"/>
        </w:rPr>
        <w:t xml:space="preserve">•  Ingestion: Unlikely</w:t>
      </w:r>
    </w:p>
    <w:p>
      <w:pPr>
        <w:keepNext/>
        <w:keepLines/>
        <w:pBdr>
          <w:bottom w:val="single" w:color="6499c7" w:sz="8" w:space="4"/>
        </w:pBdr>
        <w:spacing w:after="120" w:before="360"/>
      </w:pPr>
      <w:r>
        <w:rPr>
          <w:b/>
          <w:bCs/>
          <w:color w:val="1e3a5f"/>
          <w:sz w:val="26"/>
          <w:szCs w:val="26"/>
        </w:rPr>
        <w:t xml:space="preserve">5. Workplace Exposure Limits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3719"/>
        <w:gridCol w:w="3719"/>
      </w:tblGrid>
      <w:tr>
        <w:trPr>
          <w:tblHeader/>
        </w:trPr>
        <w:tc>
          <w:tcPr>
            <w:tcW w:type="dxa" w:w="2200"/>
            <w:tcBorders>
              <w:top w:val="single" w:color="BFBFBF" w:sz="4"/>
              <w:left w:val="single" w:color="BFBFBF" w:sz="4"/>
              <w:bottom w:val="single" w:color="BFBFBF" w:sz="4"/>
              <w:right w:val="single" w:color="BFBFBF" w:sz="4"/>
            </w:tcBorders>
            <w:shd w:fill="1e3a5f" w:color="auto" w:val="clear"/>
            <w:tcMar>
              <w:top w:type="dxa" w:w="80"/>
              <w:left w:type="dxa" w:w="120"/>
              <w:bottom w:type="dxa" w:w="80"/>
              <w:right w:type="dxa" w:w="120"/>
            </w:tcMar>
            <w:vAlign w:val="top"/>
          </w:tcPr>
          <w:p>
            <w:r>
              <w:rPr>
                <w:b/>
                <w:bCs/>
                <w:color w:val="FFFFFF"/>
                <w:sz w:val="20"/>
                <w:szCs w:val="20"/>
              </w:rPr>
              <w:t xml:space="preserve">Substance</w:t>
            </w:r>
          </w:p>
        </w:tc>
        <w:tc>
          <w:tcPr>
            <w:tcW w:type="dxa" w:w="3719"/>
            <w:tcBorders>
              <w:top w:val="single" w:color="BFBFBF" w:sz="4"/>
              <w:left w:val="single" w:color="BFBFBF" w:sz="4"/>
              <w:bottom w:val="single" w:color="BFBFBF" w:sz="4"/>
              <w:right w:val="single" w:color="BFBFBF" w:sz="4"/>
            </w:tcBorders>
            <w:shd w:fill="1e3a5f" w:color="auto" w:val="clear"/>
            <w:tcMar>
              <w:top w:type="dxa" w:w="80"/>
              <w:left w:type="dxa" w:w="120"/>
              <w:bottom w:type="dxa" w:w="80"/>
              <w:right w:type="dxa" w:w="120"/>
            </w:tcMar>
            <w:vAlign w:val="top"/>
          </w:tcPr>
          <w:p>
            <w:r>
              <w:rPr>
                <w:b/>
                <w:bCs/>
                <w:color w:val="FFFFFF"/>
                <w:sz w:val="20"/>
                <w:szCs w:val="20"/>
              </w:rPr>
              <w:t xml:space="preserve">8-hr TWA</w:t>
            </w:r>
          </w:p>
        </w:tc>
        <w:tc>
          <w:tcPr>
            <w:tcW w:type="dxa" w:w="3719"/>
            <w:tcBorders>
              <w:top w:val="single" w:color="BFBFBF" w:sz="4"/>
              <w:left w:val="single" w:color="BFBFBF" w:sz="4"/>
              <w:bottom w:val="single" w:color="BFBFBF" w:sz="4"/>
              <w:right w:val="single" w:color="BFBFBF" w:sz="4"/>
            </w:tcBorders>
            <w:shd w:fill="1e3a5f" w:color="auto" w:val="clear"/>
            <w:tcMar>
              <w:top w:type="dxa" w:w="80"/>
              <w:left w:type="dxa" w:w="120"/>
              <w:bottom w:type="dxa" w:w="80"/>
              <w:right w:type="dxa" w:w="120"/>
            </w:tcMar>
            <w:vAlign w:val="top"/>
          </w:tcPr>
          <w:p>
            <w:r>
              <w:rPr>
                <w:b/>
                <w:bCs/>
                <w:color w:val="FFFFFF"/>
                <w:sz w:val="20"/>
                <w:szCs w:val="20"/>
              </w:rPr>
              <w:t xml:space="preserve">15-min STEL</w:t>
            </w:r>
          </w:p>
        </w:tc>
      </w:tr>
      <w:tr>
        <w:trPr>
          <w:cantSplit/>
        </w:trPr>
        <w:tc>
          <w:tcPr>
            <w:tcW w:type="dxa" w:w="22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Oil mist, mineral</w:t>
            </w:r>
          </w:p>
        </w:tc>
        <w:tc>
          <w:tcPr>
            <w:tcW w:type="dxa" w:w="3719"/>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5 mg/m³</w:t>
            </w:r>
          </w:p>
        </w:tc>
        <w:tc>
          <w:tcPr>
            <w:tcW w:type="dxa" w:w="3719"/>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10 mg/m³</w:t>
            </w:r>
          </w:p>
        </w:tc>
      </w:tr>
    </w:tbl>
    <w:p>
      <w:pPr>
        <w:keepNext/>
        <w:keepLines/>
        <w:pBdr>
          <w:bottom w:val="single" w:color="6499c7" w:sz="8" w:space="4"/>
        </w:pBdr>
        <w:spacing w:after="120" w:before="360"/>
      </w:pPr>
      <w:r>
        <w:rPr>
          <w:b/>
          <w:bCs/>
          <w:color w:val="1e3a5f"/>
          <w:sz w:val="26"/>
          <w:szCs w:val="26"/>
        </w:rPr>
        <w:t xml:space="preserve">6. Frequency and Duration of Exposure</w:t>
      </w:r>
    </w:p>
    <w:p>
      <w:pPr>
        <w:spacing w:after="40" w:before="40"/>
      </w:pPr>
      <w:r>
        <w:rPr>
          <w:i/>
          <w:iCs/>
          <w:color w:val="595959"/>
          <w:sz w:val="18"/>
          <w:szCs w:val="18"/>
        </w:rPr>
        <w:t xml:space="preserve">COSHH Regulation 6(2) requires the assessment to consider the amount, the level and the duration of exposure.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2"/>
      </w:tblGrid>
      <w:tr>
        <w:trPr>
          <w:tblHeader/>
        </w:trPr>
        <w:tc>
          <w:tcPr>
            <w:tcW w:type="dxa" w:w="3212"/>
            <w:tcBorders>
              <w:top w:val="single" w:color="BFBFBF" w:sz="4"/>
              <w:left w:val="single" w:color="BFBFBF" w:sz="4"/>
              <w:bottom w:val="single" w:color="BFBFBF" w:sz="4"/>
              <w:right w:val="single" w:color="BFBFBF" w:sz="4"/>
            </w:tcBorders>
            <w:shd w:fill="1e3a5f" w:color="auto" w:val="clear"/>
            <w:tcMar>
              <w:top w:type="dxa" w:w="80"/>
              <w:left w:type="dxa" w:w="120"/>
              <w:bottom w:type="dxa" w:w="80"/>
              <w:right w:type="dxa" w:w="120"/>
            </w:tcMar>
            <w:vAlign w:val="top"/>
          </w:tcPr>
          <w:p>
            <w:r>
              <w:rPr>
                <w:b/>
                <w:bCs/>
                <w:color w:val="FFFFFF"/>
                <w:sz w:val="20"/>
                <w:szCs w:val="20"/>
              </w:rPr>
              <w:t xml:space="preserve">Amount used</w:t>
            </w:r>
          </w:p>
        </w:tc>
        <w:tc>
          <w:tcPr>
            <w:tcW w:type="dxa" w:w="3212"/>
            <w:tcBorders>
              <w:top w:val="single" w:color="BFBFBF" w:sz="4"/>
              <w:left w:val="single" w:color="BFBFBF" w:sz="4"/>
              <w:bottom w:val="single" w:color="BFBFBF" w:sz="4"/>
              <w:right w:val="single" w:color="BFBFBF" w:sz="4"/>
            </w:tcBorders>
            <w:shd w:fill="1e3a5f" w:color="auto" w:val="clear"/>
            <w:tcMar>
              <w:top w:type="dxa" w:w="80"/>
              <w:left w:type="dxa" w:w="120"/>
              <w:bottom w:type="dxa" w:w="80"/>
              <w:right w:type="dxa" w:w="120"/>
            </w:tcMar>
            <w:vAlign w:val="top"/>
          </w:tcPr>
          <w:p>
            <w:r>
              <w:rPr>
                <w:b/>
                <w:bCs/>
                <w:color w:val="FFFFFF"/>
                <w:sz w:val="20"/>
                <w:szCs w:val="20"/>
              </w:rPr>
              <w:t xml:space="preserve">Times per day</w:t>
            </w:r>
          </w:p>
        </w:tc>
        <w:tc>
          <w:tcPr>
            <w:tcW w:type="dxa" w:w="3212"/>
            <w:tcBorders>
              <w:top w:val="single" w:color="BFBFBF" w:sz="4"/>
              <w:left w:val="single" w:color="BFBFBF" w:sz="4"/>
              <w:bottom w:val="single" w:color="BFBFBF" w:sz="4"/>
              <w:right w:val="single" w:color="BFBFBF" w:sz="4"/>
            </w:tcBorders>
            <w:shd w:fill="1e3a5f" w:color="auto" w:val="clear"/>
            <w:tcMar>
              <w:top w:type="dxa" w:w="80"/>
              <w:left w:type="dxa" w:w="120"/>
              <w:bottom w:type="dxa" w:w="80"/>
              <w:right w:type="dxa" w:w="120"/>
            </w:tcMar>
            <w:vAlign w:val="top"/>
          </w:tcPr>
          <w:p>
            <w:r>
              <w:rPr>
                <w:b/>
                <w:bCs/>
                <w:color w:val="FFFFFF"/>
                <w:sz w:val="20"/>
                <w:szCs w:val="20"/>
              </w:rPr>
              <w:t xml:space="preserve">Duration per use</w:t>
            </w:r>
          </w:p>
        </w:tc>
      </w:tr>
      <w:tr>
        <w:trPr>
          <w:cantSplit/>
        </w:trPr>
        <w:tc>
          <w:tcPr>
            <w:tcW w:type="dxa" w:w="3212"/>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Small — millilitres per fill</w:t>
            </w:r>
          </w:p>
        </w:tc>
        <w:tc>
          <w:tcPr>
            <w:tcW w:type="dxa" w:w="3212"/>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1–5 times per day</w:t>
            </w:r>
          </w:p>
        </w:tc>
        <w:tc>
          <w:tcPr>
            <w:tcW w:type="dxa" w:w="3212"/>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1–5 minutes to charge the lubricator; exposure continues while the tool runs</w:t>
            </w:r>
          </w:p>
        </w:tc>
      </w:tr>
    </w:tbl>
    <w:p>
      <w:pPr>
        <w:keepNext/>
        <w:keepLines/>
        <w:pBdr>
          <w:bottom w:val="single" w:color="6499c7" w:sz="8" w:space="4"/>
        </w:pBdr>
        <w:spacing w:after="120" w:before="360"/>
      </w:pPr>
      <w:r>
        <w:rPr>
          <w:b/>
          <w:bCs/>
          <w:color w:val="1e3a5f"/>
          <w:sz w:val="26"/>
          <w:szCs w:val="26"/>
        </w:rPr>
        <w:t xml:space="preserve">7. Control Measures — Hierarchy of Controls</w:t>
      </w:r>
    </w:p>
    <w:p>
      <w:pPr>
        <w:keepNext/>
        <w:keepLines/>
        <w:spacing w:after="80" w:before="200"/>
      </w:pPr>
      <w:r>
        <w:rPr>
          <w:b/>
          <w:bCs/>
          <w:color w:val="2c4f7c"/>
          <w:sz w:val="22"/>
          <w:szCs w:val="22"/>
        </w:rPr>
        <w:t xml:space="preserve">Elimination / substitution</w:t>
      </w:r>
    </w:p>
    <w:p>
      <w:pPr>
        <w:spacing w:after="40" w:before="40"/>
      </w:pPr>
      <w:r>
        <w:rPr>
          <w:sz w:val="20"/>
          <w:szCs w:val="20"/>
        </w:rPr>
        <w:t xml:space="preserve">- Not practicable — lubrication is required for tool life and safe operation</w:t>
      </w:r>
    </w:p>
    <w:p>
      <w:pPr>
        <w:keepNext/>
        <w:keepLines/>
        <w:spacing w:after="80" w:before="200"/>
      </w:pPr>
      <w:r>
        <w:rPr>
          <w:b/>
          <w:bCs/>
          <w:color w:val="2c4f7c"/>
          <w:sz w:val="22"/>
          <w:szCs w:val="22"/>
        </w:rPr>
        <w:t xml:space="preserve">Engineering controls</w:t>
      </w:r>
    </w:p>
    <w:p>
      <w:pPr>
        <w:spacing w:after="40" w:before="40"/>
        <w:ind w:left="200" w:hanging="200"/>
      </w:pPr>
      <w:r>
        <w:rPr>
          <w:sz w:val="20"/>
          <w:szCs w:val="20"/>
        </w:rPr>
        <w:t xml:space="preserve">•  In-line lubricator charged rather than oil poured into the air inlet</w:t>
      </w:r>
    </w:p>
    <w:p>
      <w:pPr>
        <w:spacing w:after="40" w:before="40"/>
        <w:ind w:left="200" w:hanging="200"/>
      </w:pPr>
      <w:r>
        <w:rPr>
          <w:sz w:val="20"/>
          <w:szCs w:val="20"/>
        </w:rPr>
        <w:t xml:space="preserve">•  Work outdoors or in open excavation — the normal working environment disperses mist</w:t>
      </w:r>
    </w:p>
    <w:p>
      <w:pPr>
        <w:spacing w:after="40" w:before="40"/>
        <w:ind w:left="200" w:hanging="200"/>
      </w:pPr>
      <w:r>
        <w:rPr>
          <w:sz w:val="20"/>
          <w:szCs w:val="20"/>
        </w:rPr>
        <w:t xml:space="preserve">•  Airline connections checked for leaks before the shift</w:t>
      </w:r>
    </w:p>
    <w:p>
      <w:pPr>
        <w:keepNext/>
        <w:keepLines/>
        <w:spacing w:after="80" w:before="200"/>
      </w:pPr>
      <w:r>
        <w:rPr>
          <w:b/>
          <w:bCs/>
          <w:color w:val="2c4f7c"/>
          <w:sz w:val="22"/>
          <w:szCs w:val="22"/>
        </w:rPr>
        <w:t xml:space="preserve">Administrative controls</w:t>
      </w:r>
    </w:p>
    <w:p>
      <w:pPr>
        <w:spacing w:after="40" w:before="40"/>
        <w:ind w:left="200" w:hanging="200"/>
      </w:pPr>
      <w:r>
        <w:rPr>
          <w:sz w:val="20"/>
          <w:szCs w:val="20"/>
        </w:rPr>
        <w:t xml:space="preserve">•  Do not stand in the tool exhaust stream</w:t>
      </w:r>
    </w:p>
    <w:p>
      <w:pPr>
        <w:spacing w:after="40" w:before="40"/>
        <w:ind w:left="200" w:hanging="200"/>
      </w:pPr>
      <w:r>
        <w:rPr>
          <w:sz w:val="20"/>
          <w:szCs w:val="20"/>
        </w:rPr>
        <w:t xml:space="preserve">•  Charge the lubricator with the airline isolated and depressurised</w:t>
      </w:r>
    </w:p>
    <w:p>
      <w:pPr>
        <w:spacing w:after="40" w:before="40"/>
        <w:ind w:left="200" w:hanging="200"/>
      </w:pPr>
      <w:r>
        <w:rPr>
          <w:sz w:val="20"/>
          <w:szCs w:val="20"/>
        </w:rPr>
        <w:t xml:space="preserve">•  Hand-arm vibration exposure is controlled separately under SOP 8.10</w:t>
      </w:r>
    </w:p>
    <w:p>
      <w:pPr>
        <w:keepNext/>
        <w:keepLines/>
        <w:spacing w:after="80" w:before="200"/>
      </w:pPr>
      <w:r>
        <w:rPr>
          <w:b/>
          <w:bCs/>
          <w:color w:val="2c4f7c"/>
          <w:sz w:val="22"/>
          <w:szCs w:val="22"/>
        </w:rPr>
        <w:t xml:space="preserve">Personal Protective Equipment (PPE)</w:t>
      </w:r>
    </w:p>
    <w:p>
      <w:pPr>
        <w:keepNext/>
        <w:keepLines/>
        <w:pBdr>
          <w:bottom w:val="single" w:color="6499c7" w:sz="8" w:space="4"/>
        </w:pBdr>
        <w:spacing w:after="120" w:before="360"/>
      </w:pPr>
      <w:r>
        <w:rPr>
          <w:b/>
          <w:bCs/>
          <w:color w:val="1e3a5f"/>
          <w:sz w:val="26"/>
          <w:szCs w:val="26"/>
        </w:rPr>
        <w:t xml:space="preserve">8. Storage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00"/>
        <w:gridCol w:w="6838"/>
      </w:tblGrid>
      <w:tr>
        <w:trPr>
          <w:cantSplit/>
        </w:trPr>
        <w:tc>
          <w:tcPr>
            <w:tcW w:type="dxa" w:w="28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Temperature</w:t>
            </w:r>
          </w:p>
        </w:tc>
        <w:tc>
          <w:tcPr>
            <w:tcW w:type="dxa" w:w="6838"/>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Ambient</w:t>
            </w:r>
          </w:p>
        </w:tc>
      </w:tr>
      <w:tr>
        <w:trPr>
          <w:cantSplit/>
        </w:trPr>
        <w:tc>
          <w:tcPr>
            <w:tcW w:type="dxa" w:w="28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Location</w:t>
            </w:r>
          </w:p>
        </w:tc>
        <w:tc>
          <w:tcPr>
            <w:tcW w:type="dxa" w:w="6838"/>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Yard COSHH cabinet, bunded</w:t>
            </w:r>
          </w:p>
        </w:tc>
      </w:tr>
      <w:tr>
        <w:trPr>
          <w:cantSplit/>
        </w:trPr>
        <w:tc>
          <w:tcPr>
            <w:tcW w:type="dxa" w:w="28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Avoid</w:t>
            </w:r>
          </w:p>
        </w:tc>
        <w:tc>
          <w:tcPr>
            <w:tcW w:type="dxa" w:w="6838"/>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Strong oxidisers; contamination with grit</w:t>
            </w:r>
          </w:p>
        </w:tc>
      </w:tr>
      <w:tr>
        <w:trPr>
          <w:cantSplit/>
        </w:trPr>
        <w:tc>
          <w:tcPr>
            <w:tcW w:type="dxa" w:w="28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Container</w:t>
            </w:r>
          </w:p>
        </w:tc>
        <w:tc>
          <w:tcPr>
            <w:tcW w:type="dxa" w:w="6838"/>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Original container, closed</w:t>
            </w:r>
          </w:p>
        </w:tc>
      </w:tr>
    </w:tbl>
    <w:p>
      <w:pPr>
        <w:keepNext/>
        <w:keepLines/>
        <w:pBdr>
          <w:bottom w:val="single" w:color="6499c7" w:sz="8" w:space="4"/>
        </w:pBdr>
        <w:spacing w:after="120" w:before="360"/>
      </w:pPr>
      <w:r>
        <w:rPr>
          <w:b/>
          <w:bCs/>
          <w:color w:val="1e3a5f"/>
          <w:sz w:val="26"/>
          <w:szCs w:val="26"/>
        </w:rPr>
        <w:t xml:space="preserve">9. Emergency Procedures</w:t>
      </w:r>
    </w:p>
    <w:p>
      <w:pPr>
        <w:keepNext/>
        <w:keepLines/>
        <w:spacing w:after="80" w:before="200"/>
      </w:pPr>
      <w:r>
        <w:rPr>
          <w:b/>
          <w:bCs/>
          <w:color w:val="2c4f7c"/>
          <w:sz w:val="22"/>
          <w:szCs w:val="22"/>
        </w:rPr>
        <w:t xml:space="preserve">First aid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rPr>
          <w:tblHeader/>
        </w:trPr>
        <w:tc>
          <w:tcPr>
            <w:tcW w:type="dxa" w:w="2200"/>
            <w:tcBorders>
              <w:top w:val="single" w:color="BFBFBF" w:sz="4"/>
              <w:left w:val="single" w:color="BFBFBF" w:sz="4"/>
              <w:bottom w:val="single" w:color="BFBFBF" w:sz="4"/>
              <w:right w:val="single" w:color="BFBFBF" w:sz="4"/>
            </w:tcBorders>
            <w:shd w:fill="1e3a5f" w:color="auto" w:val="clear"/>
            <w:tcMar>
              <w:top w:type="dxa" w:w="80"/>
              <w:left w:type="dxa" w:w="120"/>
              <w:bottom w:type="dxa" w:w="80"/>
              <w:right w:type="dxa" w:w="120"/>
            </w:tcMar>
            <w:vAlign w:val="top"/>
          </w:tcPr>
          <w:p>
            <w:r>
              <w:rPr>
                <w:b/>
                <w:bCs/>
                <w:color w:val="FFFFFF"/>
                <w:sz w:val="20"/>
                <w:szCs w:val="20"/>
              </w:rPr>
              <w:t xml:space="preserve">Route</w:t>
            </w:r>
          </w:p>
        </w:tc>
        <w:tc>
          <w:tcPr>
            <w:tcW w:type="dxa" w:w="7438"/>
            <w:tcBorders>
              <w:top w:val="single" w:color="BFBFBF" w:sz="4"/>
              <w:left w:val="single" w:color="BFBFBF" w:sz="4"/>
              <w:bottom w:val="single" w:color="BFBFBF" w:sz="4"/>
              <w:right w:val="single" w:color="BFBFBF" w:sz="4"/>
            </w:tcBorders>
            <w:shd w:fill="1e3a5f" w:color="auto" w:val="clear"/>
            <w:tcMar>
              <w:top w:type="dxa" w:w="80"/>
              <w:left w:type="dxa" w:w="120"/>
              <w:bottom w:type="dxa" w:w="80"/>
              <w:right w:type="dxa" w:w="120"/>
            </w:tcMar>
            <w:vAlign w:val="top"/>
          </w:tcPr>
          <w:p>
            <w:r>
              <w:rPr>
                <w:b/>
                <w:bCs/>
                <w:color w:val="FFFFFF"/>
                <w:sz w:val="20"/>
                <w:szCs w:val="20"/>
              </w:rPr>
              <w:t xml:space="preserve">Action</w:t>
            </w:r>
          </w:p>
        </w:tc>
      </w:tr>
      <w:tr>
        <w:trPr>
          <w:cantSplit/>
        </w:trPr>
        <w:tc>
          <w:tcPr>
            <w:tcW w:type="dxa" w:w="22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Eyes</w:t>
            </w:r>
          </w:p>
        </w:tc>
        <w:tc>
          <w:tcPr>
            <w:tcW w:type="dxa" w:w="7438"/>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Rinse with water for several minutes. Seek medical advice if a pressurised jet has contacted the eye.</w:t>
            </w:r>
          </w:p>
        </w:tc>
      </w:tr>
      <w:tr>
        <w:trPr>
          <w:cantSplit/>
        </w:trPr>
        <w:tc>
          <w:tcPr>
            <w:tcW w:type="dxa" w:w="22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Skin</w:t>
            </w:r>
          </w:p>
        </w:tc>
        <w:tc>
          <w:tcPr>
            <w:tcW w:type="dxa" w:w="7438"/>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Wash with soap and water.</w:t>
            </w:r>
          </w:p>
        </w:tc>
      </w:tr>
      <w:tr>
        <w:trPr>
          <w:cantSplit/>
        </w:trPr>
        <w:tc>
          <w:tcPr>
            <w:tcW w:type="dxa" w:w="22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Inhalation</w:t>
            </w:r>
          </w:p>
        </w:tc>
        <w:tc>
          <w:tcPr>
            <w:tcW w:type="dxa" w:w="7438"/>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Move to fresh air. Seek medical advice if breathing is uncomfortable.</w:t>
            </w:r>
          </w:p>
        </w:tc>
      </w:tr>
      <w:tr>
        <w:trPr>
          <w:cantSplit/>
        </w:trPr>
        <w:tc>
          <w:tcPr>
            <w:tcW w:type="dxa" w:w="22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Ingestion</w:t>
            </w:r>
          </w:p>
        </w:tc>
        <w:tc>
          <w:tcPr>
            <w:tcW w:type="dxa" w:w="7438"/>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Rinse mouth. Do not induce vomiting. Seek medical advice.</w:t>
            </w:r>
          </w:p>
        </w:tc>
      </w:tr>
    </w:tbl>
    <w:p>
      <w:pPr>
        <w:keepNext/>
        <w:keepLines/>
        <w:spacing w:after="80" w:before="200"/>
      </w:pPr>
      <w:r>
        <w:rPr>
          <w:b/>
          <w:bCs/>
          <w:color w:val="2c4f7c"/>
          <w:sz w:val="22"/>
          <w:szCs w:val="22"/>
        </w:rPr>
        <w:t xml:space="preserve">Spillage</w:t>
      </w:r>
    </w:p>
    <w:p>
      <w:pPr>
        <w:spacing w:after="40" w:before="40"/>
      </w:pPr>
      <w:r>
        <w:rPr>
          <w:sz w:val="20"/>
          <w:szCs w:val="20"/>
        </w:rPr>
        <w:t xml:space="preserve">Absorb with oil absorbent. Protect the excavation and the nearest drain. Dispose as hazardous waste.</w:t>
      </w:r>
    </w:p>
    <w:p>
      <w:pPr>
        <w:keepNext/>
        <w:keepLines/>
        <w:spacing w:after="80" w:before="200"/>
      </w:pPr>
      <w:r>
        <w:rPr>
          <w:b/>
          <w:bCs/>
          <w:color w:val="2c4f7c"/>
          <w:sz w:val="22"/>
          <w:szCs w:val="22"/>
        </w:rPr>
        <w:t xml:space="preserve">Fire</w:t>
      </w:r>
    </w:p>
    <w:p>
      <w:pPr>
        <w:spacing w:after="40" w:before="40"/>
      </w:pPr>
      <w:r>
        <w:rPr>
          <w:sz w:val="20"/>
          <w:szCs w:val="20"/>
        </w:rPr>
        <w:t xml:space="preserve">Combustible when heated. Foam, dry powder or CO₂.</w:t>
      </w:r>
    </w:p>
    <w:p>
      <w:pPr>
        <w:keepNext/>
        <w:keepLines/>
        <w:spacing w:after="80" w:before="200"/>
      </w:pPr>
      <w:r>
        <w:rPr>
          <w:b/>
          <w:bCs/>
          <w:color w:val="2c4f7c"/>
          <w:sz w:val="22"/>
          <w:szCs w:val="22"/>
        </w:rPr>
        <w:t xml:space="preserve">Emergency contacts</w:t>
      </w:r>
    </w:p>
    <w:p>
      <w:pPr>
        <w:spacing w:after="40" w:before="40"/>
        <w:ind w:left="200" w:hanging="200"/>
      </w:pPr>
      <w:r>
        <w:rPr>
          <w:sz w:val="20"/>
          <w:szCs w:val="20"/>
        </w:rPr>
        <w:t xml:space="preserve">•  Emergency services: 999</w:t>
      </w:r>
    </w:p>
    <w:p>
      <w:pPr>
        <w:spacing w:after="40" w:before="40"/>
        <w:ind w:left="200" w:hanging="200"/>
      </w:pPr>
      <w:r>
        <w:rPr>
          <w:sz w:val="20"/>
          <w:szCs w:val="20"/>
        </w:rPr>
        <w:t xml:space="preserve">•  NHS non-emergency: 111</w:t>
      </w:r>
    </w:p>
    <w:p>
      <w:pPr>
        <w:spacing w:after="40" w:before="40"/>
        <w:ind w:left="200" w:hanging="200"/>
      </w:pPr>
      <w:r>
        <w:rPr>
          <w:sz w:val="20"/>
          <w:szCs w:val="20"/>
        </w:rPr>
        <w:t xml:space="preserve">•  AMWS supervisor: Jason May</w:t>
      </w:r>
    </w:p>
    <w:p>
      <w:pPr>
        <w:spacing w:after="40" w:before="40"/>
        <w:ind w:left="200" w:hanging="200"/>
      </w:pPr>
      <w:r>
        <w:rPr>
          <w:sz w:val="20"/>
          <w:szCs w:val="20"/>
        </w:rPr>
        <w:t xml:space="preserve">•  HSQE support: Sean Ashton (Onyx Operations)</w:t>
      </w:r>
    </w:p>
    <w:p>
      <w:pPr>
        <w:keepNext/>
        <w:keepLines/>
        <w:pBdr>
          <w:bottom w:val="single" w:color="6499c7" w:sz="8" w:space="4"/>
        </w:pBdr>
        <w:spacing w:after="120" w:before="360"/>
      </w:pPr>
      <w:r>
        <w:rPr>
          <w:b/>
          <w:bCs/>
          <w:color w:val="1e3a5f"/>
          <w:sz w:val="26"/>
          <w:szCs w:val="26"/>
        </w:rPr>
        <w:t xml:space="preserve">10. Waste Disposal</w:t>
      </w:r>
    </w:p>
    <w:p>
      <w:pPr>
        <w:spacing w:after="40" w:before="40"/>
      </w:pPr>
      <w:r>
        <w:rPr>
          <w:sz w:val="20"/>
          <w:szCs w:val="20"/>
        </w:rPr>
        <w:t xml:space="preserve">Hazardous waste, EWC 13 02 05*. Authorised waste-oil contractor with a consignment note.</w:t>
      </w:r>
    </w:p>
    <w:p>
      <w:pPr>
        <w:keepNext/>
        <w:keepLines/>
        <w:pBdr>
          <w:bottom w:val="single" w:color="6499c7" w:sz="8" w:space="4"/>
        </w:pBdr>
        <w:spacing w:after="120" w:before="360"/>
      </w:pPr>
      <w:r>
        <w:rPr>
          <w:b/>
          <w:bCs/>
          <w:color w:val="1e3a5f"/>
          <w:sz w:val="26"/>
          <w:szCs w:val="26"/>
        </w:rPr>
        <w:t xml:space="preserve">11. Risk Rating</w:t>
      </w:r>
    </w:p>
    <w:p>
      <w:pPr>
        <w:spacing w:after="40" w:before="40"/>
      </w:pPr>
      <w:r>
        <w:rPr>
          <w:i/>
          <w:iCs/>
          <w:color w:val="595959"/>
          <w:sz w:val="18"/>
          <w:szCs w:val="18"/>
        </w:rPr>
        <w:t xml:space="preserve">Risk = Severity × Likelihood (S × L = R). See POL_HSQE_21 Risk Assessment policy for the full scoring matrix.</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single" w:color="BFBFBF" w:sz="4"/>
              <w:left w:val="single" w:color="BFBFBF" w:sz="4"/>
              <w:bottom w:val="single" w:color="BFBFBF" w:sz="4"/>
              <w:right w:val="single" w:color="BFBFBF" w:sz="4"/>
            </w:tcBorders>
            <w:shd w:fill="FFC000" w:color="auto" w:val="clear"/>
            <w:tcMar>
              <w:top w:type="dxa" w:w="120"/>
              <w:left w:type="dxa" w:w="160"/>
              <w:bottom w:type="dxa" w:w="120"/>
              <w:right w:type="dxa" w:w="160"/>
            </w:tcMar>
            <w:vAlign w:val="top"/>
          </w:tcPr>
          <w:p>
            <w:r>
              <w:rPr>
                <w:b/>
                <w:bCs/>
                <w:color w:val="0f1f33"/>
                <w:sz w:val="20"/>
                <w:szCs w:val="20"/>
              </w:rPr>
              <w:t xml:space="preserve">Before controls  —  Moderate</w:t>
            </w:r>
          </w:p>
        </w:tc>
        <w:tc>
          <w:tcPr>
            <w:tcW w:type="dxa" w:w="4819"/>
            <w:tcBorders>
              <w:top w:val="single" w:color="BFBFBF" w:sz="4"/>
              <w:left w:val="single" w:color="BFBFBF" w:sz="4"/>
              <w:bottom w:val="single" w:color="BFBFBF" w:sz="4"/>
              <w:right w:val="single" w:color="BFBFBF" w:sz="4"/>
            </w:tcBorders>
            <w:shd w:fill="92D050" w:color="auto" w:val="clear"/>
            <w:tcMar>
              <w:top w:type="dxa" w:w="120"/>
              <w:left w:type="dxa" w:w="160"/>
              <w:bottom w:type="dxa" w:w="120"/>
              <w:right w:type="dxa" w:w="160"/>
            </w:tcMar>
            <w:vAlign w:val="top"/>
          </w:tcPr>
          <w:p>
            <w:r>
              <w:rPr>
                <w:b/>
                <w:bCs/>
                <w:color w:val="0f1f33"/>
                <w:sz w:val="20"/>
                <w:szCs w:val="20"/>
              </w:rPr>
              <w:t xml:space="preserve">With controls  —  Low (residual)</w:t>
            </w:r>
          </w:p>
        </w:tc>
      </w:tr>
    </w:tbl>
    <w:p>
      <w:pPr>
        <w:keepNext/>
        <w:keepLines/>
        <w:pBdr>
          <w:bottom w:val="single" w:color="6499c7" w:sz="8" w:space="4"/>
        </w:pBdr>
        <w:spacing w:after="120" w:before="360"/>
      </w:pPr>
      <w:r>
        <w:rPr>
          <w:b/>
          <w:bCs/>
          <w:color w:val="1e3a5f"/>
          <w:sz w:val="26"/>
          <w:szCs w:val="26"/>
        </w:rPr>
        <w:t xml:space="preserve">12. Training Requirements</w:t>
      </w:r>
    </w:p>
    <w:p>
      <w:pPr>
        <w:spacing w:after="40" w:before="40"/>
        <w:ind w:left="200" w:hanging="200"/>
      </w:pPr>
      <w:r>
        <w:rPr>
          <w:sz w:val="20"/>
          <w:szCs w:val="20"/>
        </w:rPr>
        <w:t xml:space="preserve">•  Pneumatic tool lubrication procedure</w:t>
      </w:r>
    </w:p>
    <w:p>
      <w:pPr>
        <w:spacing w:after="40" w:before="40"/>
        <w:ind w:left="200" w:hanging="200"/>
      </w:pPr>
      <w:r>
        <w:rPr>
          <w:sz w:val="20"/>
          <w:szCs w:val="20"/>
        </w:rPr>
        <w:t xml:space="preserve">•  Airline safety — isolate and depressurise before disconnecting</w:t>
      </w:r>
    </w:p>
    <w:p>
      <w:pPr>
        <w:spacing w:after="40" w:before="40"/>
        <w:ind w:left="200" w:hanging="200"/>
      </w:pPr>
      <w:r>
        <w:rPr>
          <w:sz w:val="20"/>
          <w:szCs w:val="20"/>
        </w:rPr>
        <w:t xml:space="preserve">•  Oil mist and dermatitis awareness</w:t>
      </w:r>
    </w:p>
    <w:p>
      <w:pPr>
        <w:spacing w:after="40" w:before="40"/>
        <w:ind w:left="200" w:hanging="200"/>
      </w:pPr>
      <w:r>
        <w:rPr>
          <w:sz w:val="20"/>
          <w:szCs w:val="20"/>
        </w:rPr>
        <w:t xml:space="preserve">•  HAVS awareness — SOP 8.10</w:t>
      </w:r>
    </w:p>
    <w:p>
      <w:pPr>
        <w:keepNext/>
        <w:keepLines/>
        <w:pBdr>
          <w:bottom w:val="single" w:color="6499c7" w:sz="8" w:space="4"/>
        </w:pBdr>
        <w:spacing w:after="120" w:before="360"/>
      </w:pPr>
      <w:r>
        <w:rPr>
          <w:b/>
          <w:bCs/>
          <w:color w:val="1e3a5f"/>
          <w:sz w:val="26"/>
          <w:szCs w:val="26"/>
        </w:rPr>
        <w:t xml:space="preserve">13. Monitoring &amp; Review</w:t>
      </w:r>
    </w:p>
    <w:p>
      <w:pPr>
        <w:spacing w:after="40" w:before="40"/>
        <w:ind w:left="200" w:hanging="200"/>
      </w:pPr>
      <w:r>
        <w:rPr>
          <w:sz w:val="20"/>
          <w:szCs w:val="20"/>
        </w:rPr>
        <w:t xml:space="preserve">•  Weekly COSHH cabinet inspection by the Site Supervisor</w:t>
      </w:r>
    </w:p>
    <w:p>
      <w:pPr>
        <w:spacing w:after="40" w:before="40"/>
        <w:ind w:left="200" w:hanging="200"/>
      </w:pPr>
      <w:r>
        <w:rPr>
          <w:sz w:val="20"/>
          <w:szCs w:val="20"/>
        </w:rPr>
        <w:t xml:space="preserve">•  Annual COSHH review, or sooner on change of product, supplier or task</w:t>
      </w:r>
    </w:p>
    <w:p>
      <w:pPr>
        <w:spacing w:after="40" w:before="40"/>
        <w:ind w:left="200" w:hanging="200"/>
      </w:pPr>
      <w:r>
        <w:rPr>
          <w:sz w:val="20"/>
          <w:szCs w:val="20"/>
        </w:rPr>
        <w:t xml:space="preserve">•  Review immediately if the SDS obtained differs from the profile assumed above</w:t>
      </w:r>
    </w:p>
    <w:p>
      <w:pPr>
        <w:keepNext/>
        <w:keepLines/>
        <w:pBdr>
          <w:bottom w:val="single" w:color="6499c7" w:sz="8" w:space="4"/>
        </w:pBdr>
        <w:spacing w:after="120" w:before="360"/>
      </w:pPr>
      <w:r>
        <w:rPr>
          <w:b/>
          <w:bCs/>
          <w:color w:val="1e3a5f"/>
          <w:sz w:val="26"/>
          <w:szCs w:val="26"/>
        </w:rPr>
        <w:t xml:space="preserve">14. References</w:t>
      </w:r>
    </w:p>
    <w:p>
      <w:pPr>
        <w:spacing w:after="40" w:before="40"/>
        <w:ind w:left="200" w:hanging="200"/>
      </w:pPr>
      <w:r>
        <w:rPr>
          <w:sz w:val="20"/>
          <w:szCs w:val="20"/>
        </w:rPr>
        <w:t xml:space="preserve">•  POL_HSQE_08 — COSHH Policy</w:t>
      </w:r>
    </w:p>
    <w:p>
      <w:pPr>
        <w:spacing w:after="40" w:before="40"/>
        <w:ind w:left="200" w:hanging="200"/>
      </w:pPr>
      <w:r>
        <w:rPr>
          <w:sz w:val="20"/>
          <w:szCs w:val="20"/>
        </w:rPr>
        <w:t xml:space="preserve">•  POL_HSQE_19 — Personal Protective Equipment (PPE) Policy</w:t>
      </w:r>
    </w:p>
    <w:p>
      <w:pPr>
        <w:spacing w:after="40" w:before="40"/>
        <w:ind w:left="200" w:hanging="200"/>
      </w:pPr>
      <w:r>
        <w:rPr>
          <w:sz w:val="20"/>
          <w:szCs w:val="20"/>
        </w:rPr>
        <w:t xml:space="preserve">•  SOP 8.5 — Hazardous Substances (COSHH)</w:t>
      </w:r>
    </w:p>
    <w:p>
      <w:pPr>
        <w:spacing w:after="40" w:before="40"/>
        <w:ind w:left="200" w:hanging="200"/>
      </w:pPr>
      <w:r>
        <w:rPr>
          <w:sz w:val="20"/>
          <w:szCs w:val="20"/>
        </w:rPr>
        <w:t xml:space="preserve">•  SOP 8.7 — Health Surveillance</w:t>
      </w:r>
    </w:p>
    <w:p>
      <w:pPr>
        <w:spacing w:after="40" w:before="40"/>
        <w:ind w:left="200" w:hanging="200"/>
      </w:pPr>
      <w:r>
        <w:rPr>
          <w:sz w:val="20"/>
          <w:szCs w:val="20"/>
        </w:rPr>
        <w:t xml:space="preserve">•  APP_09 — COSHH Assessments Log</w:t>
      </w:r>
    </w:p>
    <w:p>
      <w:pPr>
        <w:spacing w:after="40" w:before="40"/>
        <w:ind w:left="200" w:hanging="200"/>
      </w:pPr>
      <w:r>
        <w:rPr>
          <w:sz w:val="20"/>
          <w:szCs w:val="20"/>
        </w:rPr>
        <w:t xml:space="preserve">•  HSE COSHH Regulations 2002 (SI 2002/2677, as amended)</w:t>
      </w:r>
    </w:p>
    <w:p>
      <w:pPr>
        <w:spacing w:after="40" w:before="40"/>
        <w:ind w:left="200" w:hanging="200"/>
      </w:pPr>
      <w:r>
        <w:rPr>
          <w:sz w:val="20"/>
          <w:szCs w:val="20"/>
        </w:rPr>
        <w:t xml:space="preserve">•  HSE EH40/2005 Workplace Exposure Limits</w:t>
      </w:r>
    </w:p>
    <w:p>
      <w:pPr>
        <w:spacing w:after="40" w:before="40"/>
        <w:ind w:left="200" w:hanging="200"/>
      </w:pPr>
      <w:r>
        <w:rPr>
          <w:sz w:val="20"/>
          <w:szCs w:val="20"/>
        </w:rPr>
        <w:t xml:space="preserve">•  CLP Regulation (EC) No 1272/2008 (as retained in UK law)</w:t>
      </w:r>
    </w:p>
    <w:p>
      <w:pPr>
        <w:spacing w:after="0" w:before="480"/>
        <w:jc w:val="center"/>
      </w:pPr>
      <w:r>
        <w:rPr>
          <w:i/>
          <w:iCs/>
          <w:color w:val="595959"/>
          <w:sz w:val="18"/>
          <w:szCs w:val="18"/>
        </w:rPr>
        <w:t xml:space="preserve">This assessment must be reviewed annually or sooner if circumstances change. For the full management-system context (SOPs, Appendices, policies) see the AMWS IMS portal.</w:t>
      </w:r>
    </w:p>
    <w:sectPr>
      <w:headerReference w:type="default" r:id="rId7"/>
      <w:footerReference w:type="default" r:id="rId8"/>
      <w:pgSz w:w="11906" w:h="16838" w:orient="portrait"/>
      <w:pgMar w:top="1700" w:right="1134" w:bottom="1200"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e3a5f" w:sz="8" w:space="1"/>
      </w:pBdr>
      <w:spacing w:after="60" w:before="0"/>
    </w:pPr>
    <w:r>
      <w:t xml:space="preserve"/>
    </w:r>
  </w:p>
  <w:p>
    <w:pPr>
      <w:tabs>
        <w:tab w:val="right" w:pos="9638"/>
      </w:tabs>
    </w:pPr>
    <w:r>
      <w:rPr>
        <w:color w:val="595959"/>
        <w:sz w:val="16"/>
        <w:szCs w:val="16"/>
      </w:rPr>
      <w:t xml:space="preserve">COSHH_26 — Grundo-Oil (pneumatic mole / hammer lubricant) · Issue 1 · 8 September 2026</w:t>
    </w:r>
    <w:r>
      <w:rPr>
        <w:sz w:val="16"/>
        <w:szCs w:val="16"/>
      </w:rPr>
      <w:t xml:space="preserve">	</w:t>
    </w:r>
    <w:r>
      <w:rPr>
        <w:color w:val="595959"/>
        <w:sz w:val="16"/>
        <w:szCs w:val="16"/>
      </w:rPr>
      <w:t xml:space="preserve">Page </w:t>
    </w:r>
    <w:r>
      <w:rPr>
        <w:color w:val="595959"/>
        <w:sz w:val="16"/>
        <w:szCs w:val="16"/>
      </w:rPr>
      <w:fldChar w:fldCharType="begin"/>
      <w:instrText xml:space="preserve">PAGE</w:instrText>
      <w:fldChar w:fldCharType="separate"/>
      <w:fldChar w:fldCharType="end"/>
    </w:r>
    <w:r>
      <w:rPr>
        <w:color w:val="595959"/>
        <w:sz w:val="16"/>
        <w:szCs w:val="16"/>
      </w:rPr>
      <w:t xml:space="preserve"> of </w:t>
    </w:r>
    <w:r>
      <w:rPr>
        <w:color w:val="595959"/>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60"/>
    </w:pPr>
    <w:r>
      <w:drawing>
        <wp:inline distT="0" distB="0" distL="0" distR="0">
          <wp:extent cx="1276350" cy="485775"/>
          <wp:effectExtent t="0" r="0" b="0" l="0"/>
          <wp:docPr id="1" name="amws-logo" descr="A M Water Services Ltd" title="AM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76350" cy="485775"/>
                  </a:xfrm>
                  <a:prstGeom prst="rect">
                    <a:avLst/>
                  </a:prstGeom>
                </pic:spPr>
              </pic:pic>
            </a:graphicData>
          </a:graphic>
        </wp:inline>
      </w:drawing>
    </w:r>
  </w:p>
  <w:p>
    <w:pPr>
      <w:pBdr>
        <w:bottom w:val="single" w:color="1e3a5f" w:sz="12" w:space="1"/>
      </w:pBdr>
      <w:spacing w:after="0" w:before="0"/>
    </w:pPr>
    <w: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b6b118bf66158c8730411d5e7b60704c4e0338.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COSHH_26 — Grundo-Oil (pneumatic mole / hammer lubricant)</dc:title>
  <dc:creator>Sean Ashton (Onyx Operations)</dc:creator>
  <dc:description>A M Water Services Ltd — Van Pack COSHH Assessment</dc:description>
  <cp:lastModifiedBy>Un-named</cp:lastModifiedBy>
  <cp:revision>1</cp:revision>
  <dcterms:created xsi:type="dcterms:W3CDTF">2026-05-28T10:28:04.705Z</dcterms:created>
  <dcterms:modified xsi:type="dcterms:W3CDTF">2026-05-28T10:28:04.705Z</dcterms:modified>
</cp:coreProperties>
</file>

<file path=docProps/custom.xml><?xml version="1.0" encoding="utf-8"?>
<Properties xmlns="http://schemas.openxmlformats.org/officeDocument/2006/custom-properties" xmlns:vt="http://schemas.openxmlformats.org/officeDocument/2006/docPropsVTypes"/>
</file>