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pPr>
      <w:r>
        <w:rPr>
          <w:b/>
          <w:bCs/>
          <w:caps/>
          <w:color w:val="2c4f7c"/>
          <w:spacing w:val="30"/>
          <w:sz w:val="22"/>
          <w:szCs w:val="22"/>
        </w:rPr>
        <w:t xml:space="preserve">COSHH Assessment</w:t>
      </w:r>
    </w:p>
    <w:p>
      <w:pPr>
        <w:spacing w:after="240" w:before="0"/>
      </w:pPr>
      <w:r>
        <w:rPr>
          <w:b/>
          <w:bCs/>
          <w:color w:val="1e3a5f"/>
          <w:sz w:val="40"/>
          <w:szCs w:val="40"/>
        </w:rPr>
        <w:t xml:space="preserve">EVO TOOL Temporary Linemarking Paint — Blue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3"/>
        <w:gridCol w:w="6425"/>
      </w:tblGrid>
      <w:tr>
        <w:trPr>
          <w:tblHeader/>
        </w:trPr>
        <w:tc>
          <w:tcPr>
            <w:tcW w:type="dxa" w:w="9638"/>
            <w:gridSpan w:val="2"/>
            <w:tcBorders>
              <w:top w:val="single" w:color="BFBFBF" w:sz="4"/>
              <w:left w:val="single" w:color="BFBFBF" w:sz="4"/>
              <w:bottom w:val="single" w:color="BFBFBF" w:sz="4"/>
              <w:right w:val="single" w:color="BFBFBF" w:sz="4"/>
            </w:tcBorders>
            <w:shd w:fill="1e3a5f" w:color="auto" w:val="clear"/>
            <w:tcMar>
              <w:top w:type="dxa" w:w="120"/>
              <w:left w:type="dxa" w:w="160"/>
              <w:bottom w:type="dxa" w:w="120"/>
              <w:right w:type="dxa" w:w="160"/>
            </w:tcMar>
            <w:vAlign w:val="top"/>
          </w:tcPr>
          <w:p>
            <w:r>
              <w:rPr>
                <w:b/>
                <w:bCs/>
                <w:caps/>
                <w:color w:val="FFFFFF"/>
                <w:spacing w:val="40"/>
                <w:sz w:val="22"/>
                <w:szCs w:val="22"/>
              </w:rPr>
              <w:t xml:space="preserve">Document Information</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Document Reference</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COSHH_32</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Issue Number</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Issue Date</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5 October 2026</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Next Review</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 June 2027</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Assessor</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Sean Ashton (Onyx Operations)</w:t>
            </w:r>
          </w:p>
        </w:tc>
      </w:tr>
      <w:tr>
        <w:tc>
          <w:tcPr>
            <w:tcW w:type="dxa" w:w="3213"/>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Approved By</w:t>
            </w:r>
          </w:p>
        </w:tc>
        <w:tc>
          <w:tcPr>
            <w:tcW w:type="dxa" w:w="6425"/>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Aaron Mason, Director</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6499c7" w:sz="4"/>
              <w:left w:val="single" w:color="1e3a5f" w:sz="12"/>
              <w:bottom w:val="single" w:color="6499c7" w:sz="4"/>
              <w:right w:val="single" w:color="6499c7" w:sz="4"/>
            </w:tcBorders>
            <w:shd w:fill="F2F2F2" w:color="auto" w:val="clear"/>
            <w:tcMar>
              <w:top w:type="dxa" w:w="140"/>
              <w:left w:type="dxa" w:w="200"/>
              <w:bottom w:type="dxa" w:w="140"/>
              <w:right w:type="dxa" w:w="200"/>
            </w:tcMar>
            <w:vAlign w:val="top"/>
          </w:tcPr>
          <w:p>
            <w:pPr>
              <w:spacing w:after="80" w:before="0"/>
            </w:pPr>
            <w:r>
              <w:rPr>
                <w:b/>
                <w:bCs/>
                <w:color w:val="1e3a5f"/>
                <w:sz w:val="22"/>
                <w:szCs w:val="22"/>
              </w:rPr>
              <w:t xml:space="preserve">Key references</w:t>
            </w:r>
          </w:p>
          <w:p>
            <w:pPr>
              <w:spacing w:after="40" w:before="40"/>
              <w:ind w:left="200" w:hanging="200"/>
            </w:pPr>
            <w:r>
              <w:rPr>
                <w:sz w:val="20"/>
                <w:szCs w:val="20"/>
              </w:rPr>
              <w:t xml:space="preserve">▸  No safety data sheet is held for this colour. The EVO TOOL sheet covering the range has been requested from CID Group (Site Supplies &amp; Janitorial) — owner Sean Ashton, target 31/10/2026.</w:t>
            </w:r>
          </w:p>
          <w:p>
            <w:pPr>
              <w:spacing w:after="40" w:before="40"/>
              <w:ind w:left="200" w:hanging="200"/>
            </w:pPr>
            <w:r>
              <w:rPr>
                <w:sz w:val="20"/>
                <w:szCs w:val="20"/>
              </w:rPr>
              <w:t xml:space="preserve">▸  Van Packs portal — COSHH section — synchronised copy carried by every operative</w:t>
            </w:r>
          </w:p>
        </w:tc>
      </w:tr>
    </w:tbl>
    <w:p>
      <w:pPr>
        <w:spacing w:after="0" w:before="200"/>
      </w:pPr>
    </w:p>
    <w:p>
      <w:pPr>
        <w:keepNext/>
        <w:keepLines/>
        <w:pBdr>
          <w:bottom w:val="single" w:color="6499c7" w:sz="8" w:space="4"/>
        </w:pBdr>
        <w:spacing w:after="120" w:before="360"/>
      </w:pPr>
      <w:r>
        <w:rPr>
          <w:b/>
          <w:bCs/>
          <w:color w:val="1e3a5f"/>
          <w:sz w:val="26"/>
          <w:szCs w:val="26"/>
        </w:rPr>
        <w:t xml:space="preserve">1. Product Identification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Product name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EVO TOOL Temporary Linemarking Paint — Blue</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Supplier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CID Group — Site Supplies &amp; Janitorial (EVO TOOL)</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Product code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LM00110</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Active ingredients / CAS</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Acrylic resin, pigments and fast-drying solvents in an aerosol propellant. Free from propane, butane, lead and cadmium (manufacturer's specification sheet). CAS: mixture — see safety data sheet</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Physical form</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Aerosol, 750 ml can (pack of 12)</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Appearance / odour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Blue spray</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Use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Temporary blue line-marking for site demarcation and services</w:t>
            </w:r>
          </w:p>
        </w:tc>
      </w:tr>
    </w:tbl>
    <w:p>
      <w:pPr>
        <w:pBdr>
          <w:bottom w:val="single" w:color="6499c7" w:sz="8" w:space="4"/>
        </w:pBdr>
        <w:spacing w:after="120" w:before="360"/>
      </w:pPr>
      <w:r>
        <w:rPr>
          <w:b/>
          <w:bCs/>
          <w:color w:val="1e3a5f"/>
          <w:sz w:val="26"/>
          <w:szCs w:val="26"/>
        </w:rPr>
        <w:t xml:space="preserve">2. Hazard Classification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F0B900" w:sz="4"/>
              <w:left w:val="single" w:color="F0B900" w:sz="12"/>
              <w:bottom w:val="single" w:color="F0B900" w:sz="4"/>
              <w:right w:val="single" w:color="F0B900" w:sz="4"/>
            </w:tcBorders>
            <w:shd w:fill="FFF8E1" w:color="auto" w:val="clear"/>
            <w:tcMar>
              <w:top w:type="dxa" w:w="140"/>
              <w:left w:type="dxa" w:w="200"/>
              <w:bottom w:type="dxa" w:w="140"/>
              <w:right w:type="dxa" w:w="200"/>
            </w:tcMar>
            <w:vAlign w:val="top"/>
          </w:tcPr>
          <w:p>
            <w:pPr>
              <w:spacing w:after="40" w:before="0"/>
            </w:pPr>
            <w:r>
              <w:rPr>
                <w:b/>
                <w:bCs/>
                <w:sz w:val="20"/>
                <w:szCs w:val="20"/>
              </w:rPr>
              <w:t xml:space="preserve">Overall classification: </w:t>
            </w:r>
            <w:r>
              <w:rPr>
                <w:sz w:val="20"/>
                <w:szCs w:val="20"/>
              </w:rPr>
              <w:t xml:space="preserve">Flammable Aerosol Cat 1, Aspiration Hazard Cat 1, Skin Irritation Cat 2, Eye Irritation Cat 2, STOT SE 3 (narcotic effects), Aquatic Chronic Cat 2</w:t>
            </w:r>
          </w:p>
          <w:p>
            <w:pPr>
              <w:spacing w:after="40" w:before="40"/>
            </w:pPr>
            <w:r>
              <w:rPr>
                <w:b/>
                <w:bCs/>
                <w:sz w:val="20"/>
                <w:szCs w:val="20"/>
              </w:rPr>
              <w:t xml:space="preserve">Signal word: </w:t>
            </w:r>
            <w:r>
              <w:rPr>
                <w:sz w:val="20"/>
                <w:szCs w:val="20"/>
              </w:rPr>
              <w:t xml:space="preserve">Danger</w:t>
            </w:r>
          </w:p>
          <w:p>
            <w:pPr>
              <w:spacing w:after="40" w:before="80"/>
            </w:pPr>
            <w:r>
              <w:rPr>
                <w:i/>
                <w:iCs/>
                <w:color w:val="595959"/>
                <w:sz w:val="18"/>
                <w:szCs w:val="18"/>
              </w:rPr>
              <w:t xml:space="preserve">The EVO TOOL range shares one formulation across its colours, so the same classification is applied to every colour AMWS holds. It is set at the most protective of the classifications previously recorded for these products, pending the manufacturer's sheet from CID Group.</w:t>
            </w:r>
          </w:p>
          <w:p>
            <w:pPr>
              <w:spacing w:after="40" w:before="120"/>
            </w:pPr>
            <w:r>
              <w:rPr>
                <w:b/>
                <w:bCs/>
                <w:color w:val="2c4f7c"/>
                <w:sz w:val="20"/>
                <w:szCs w:val="20"/>
              </w:rPr>
              <w:t xml:space="preserve">Hazard statements (H-codes)</w:t>
            </w:r>
          </w:p>
          <w:p>
            <w:pPr>
              <w:spacing w:after="40" w:before="40"/>
              <w:ind w:left="200" w:hanging="200"/>
            </w:pPr>
            <w:r>
              <w:rPr>
                <w:b/>
                <w:bCs/>
                <w:sz w:val="20"/>
                <w:szCs w:val="20"/>
              </w:rPr>
              <w:t xml:space="preserve">H222  </w:t>
            </w:r>
            <w:r>
              <w:rPr>
                <w:sz w:val="20"/>
                <w:szCs w:val="20"/>
              </w:rPr>
              <w:t xml:space="preserve">Extremely flammable aerosol.</w:t>
            </w:r>
          </w:p>
          <w:p>
            <w:pPr>
              <w:spacing w:after="40" w:before="40"/>
              <w:ind w:left="200" w:hanging="200"/>
            </w:pPr>
            <w:r>
              <w:rPr>
                <w:b/>
                <w:bCs/>
                <w:sz w:val="20"/>
                <w:szCs w:val="20"/>
              </w:rPr>
              <w:t xml:space="preserve">H229  </w:t>
            </w:r>
            <w:r>
              <w:rPr>
                <w:sz w:val="20"/>
                <w:szCs w:val="20"/>
              </w:rPr>
              <w:t xml:space="preserve">Pressurised container: may burst if heated.</w:t>
            </w:r>
          </w:p>
          <w:p>
            <w:pPr>
              <w:spacing w:after="40" w:before="40"/>
              <w:ind w:left="200" w:hanging="200"/>
            </w:pPr>
            <w:r>
              <w:rPr>
                <w:b/>
                <w:bCs/>
                <w:sz w:val="20"/>
                <w:szCs w:val="20"/>
              </w:rPr>
              <w:t xml:space="preserve">H304  </w:t>
            </w:r>
            <w:r>
              <w:rPr>
                <w:sz w:val="20"/>
                <w:szCs w:val="20"/>
              </w:rPr>
              <w:t xml:space="preserve">May be fatal if swallowed and enters airways.</w:t>
            </w:r>
          </w:p>
          <w:p>
            <w:pPr>
              <w:spacing w:after="40" w:before="40"/>
              <w:ind w:left="200" w:hanging="200"/>
            </w:pPr>
            <w:r>
              <w:rPr>
                <w:b/>
                <w:bCs/>
                <w:sz w:val="20"/>
                <w:szCs w:val="20"/>
              </w:rPr>
              <w:t xml:space="preserve">H315  </w:t>
            </w:r>
            <w:r>
              <w:rPr>
                <w:sz w:val="20"/>
                <w:szCs w:val="20"/>
              </w:rPr>
              <w:t xml:space="preserve">Causes skin irritation.</w:t>
            </w:r>
          </w:p>
          <w:p>
            <w:pPr>
              <w:spacing w:after="40" w:before="40"/>
              <w:ind w:left="200" w:hanging="200"/>
            </w:pPr>
            <w:r>
              <w:rPr>
                <w:b/>
                <w:bCs/>
                <w:sz w:val="20"/>
                <w:szCs w:val="20"/>
              </w:rPr>
              <w:t xml:space="preserve">H319  </w:t>
            </w:r>
            <w:r>
              <w:rPr>
                <w:sz w:val="20"/>
                <w:szCs w:val="20"/>
              </w:rPr>
              <w:t xml:space="preserve">Causes serious eye irritation.</w:t>
            </w:r>
          </w:p>
          <w:p>
            <w:pPr>
              <w:spacing w:after="40" w:before="40"/>
              <w:ind w:left="200" w:hanging="200"/>
            </w:pPr>
            <w:r>
              <w:rPr>
                <w:b/>
                <w:bCs/>
                <w:sz w:val="20"/>
                <w:szCs w:val="20"/>
              </w:rPr>
              <w:t xml:space="preserve">H336  </w:t>
            </w:r>
            <w:r>
              <w:rPr>
                <w:sz w:val="20"/>
                <w:szCs w:val="20"/>
              </w:rPr>
              <w:t xml:space="preserve">May cause drowsiness or dizziness.</w:t>
            </w:r>
          </w:p>
          <w:p>
            <w:pPr>
              <w:spacing w:after="40" w:before="40"/>
              <w:ind w:left="200" w:hanging="200"/>
            </w:pPr>
            <w:r>
              <w:rPr>
                <w:b/>
                <w:bCs/>
                <w:sz w:val="20"/>
                <w:szCs w:val="20"/>
              </w:rPr>
              <w:t xml:space="preserve">H411  </w:t>
            </w:r>
            <w:r>
              <w:rPr>
                <w:sz w:val="20"/>
                <w:szCs w:val="20"/>
              </w:rPr>
              <w:t xml:space="preserve">Toxic to aquatic life with long lasting effects.</w:t>
            </w:r>
          </w:p>
          <w:p>
            <w:pPr>
              <w:spacing w:after="40" w:before="120"/>
            </w:pPr>
            <w:r>
              <w:rPr>
                <w:b/>
                <w:bCs/>
                <w:color w:val="2c4f7c"/>
                <w:sz w:val="20"/>
                <w:szCs w:val="20"/>
              </w:rPr>
              <w:t xml:space="preserve">Precautionary statements (P-codes)</w:t>
            </w:r>
          </w:p>
          <w:p>
            <w:pPr>
              <w:spacing w:after="40" w:before="40"/>
              <w:ind w:left="200" w:hanging="200"/>
            </w:pPr>
            <w:r>
              <w:rPr>
                <w:b/>
                <w:bCs/>
                <w:sz w:val="20"/>
                <w:szCs w:val="20"/>
              </w:rPr>
              <w:t xml:space="preserve">P210  </w:t>
            </w:r>
            <w:r>
              <w:rPr>
                <w:sz w:val="20"/>
                <w:szCs w:val="20"/>
              </w:rPr>
              <w:t xml:space="preserve">Keep away from heat, hot surfaces, sparks, open flames and other ignition sources. No smoking.</w:t>
            </w:r>
          </w:p>
          <w:p>
            <w:pPr>
              <w:spacing w:after="40" w:before="40"/>
              <w:ind w:left="200" w:hanging="200"/>
            </w:pPr>
            <w:r>
              <w:rPr>
                <w:b/>
                <w:bCs/>
                <w:sz w:val="20"/>
                <w:szCs w:val="20"/>
              </w:rPr>
              <w:t xml:space="preserve">P211  </w:t>
            </w:r>
            <w:r>
              <w:rPr>
                <w:sz w:val="20"/>
                <w:szCs w:val="20"/>
              </w:rPr>
              <w:t xml:space="preserve">Do not spray on an open flame or other ignition source.</w:t>
            </w:r>
          </w:p>
          <w:p>
            <w:pPr>
              <w:spacing w:after="40" w:before="40"/>
              <w:ind w:left="200" w:hanging="200"/>
            </w:pPr>
            <w:r>
              <w:rPr>
                <w:b/>
                <w:bCs/>
                <w:sz w:val="20"/>
                <w:szCs w:val="20"/>
              </w:rPr>
              <w:t xml:space="preserve">P251  </w:t>
            </w:r>
            <w:r>
              <w:rPr>
                <w:sz w:val="20"/>
                <w:szCs w:val="20"/>
              </w:rPr>
              <w:t xml:space="preserve">Do not pierce or burn, even after use.</w:t>
            </w:r>
          </w:p>
          <w:p>
            <w:pPr>
              <w:spacing w:after="40" w:before="40"/>
              <w:ind w:left="200" w:hanging="200"/>
            </w:pPr>
            <w:r>
              <w:rPr>
                <w:b/>
                <w:bCs/>
                <w:sz w:val="20"/>
                <w:szCs w:val="20"/>
              </w:rPr>
              <w:t xml:space="preserve">P261  </w:t>
            </w:r>
            <w:r>
              <w:rPr>
                <w:sz w:val="20"/>
                <w:szCs w:val="20"/>
              </w:rPr>
              <w:t xml:space="preserve">Avoid breathing dust/fume/gas/mist/vapours/spray.</w:t>
            </w:r>
          </w:p>
          <w:p>
            <w:pPr>
              <w:spacing w:after="40" w:before="40"/>
              <w:ind w:left="200" w:hanging="200"/>
            </w:pPr>
            <w:r>
              <w:rPr>
                <w:b/>
                <w:bCs/>
                <w:sz w:val="20"/>
                <w:szCs w:val="20"/>
              </w:rPr>
              <w:t xml:space="preserve">P280  </w:t>
            </w:r>
            <w:r>
              <w:rPr>
                <w:sz w:val="20"/>
                <w:szCs w:val="20"/>
              </w:rPr>
              <w:t xml:space="preserve">Wear protective gloves/protective clothing/eye protection/face protection.</w:t>
            </w:r>
          </w:p>
          <w:p>
            <w:pPr>
              <w:spacing w:after="40" w:before="40"/>
              <w:ind w:left="200" w:hanging="200"/>
            </w:pPr>
            <w:r>
              <w:rPr>
                <w:b/>
                <w:bCs/>
                <w:sz w:val="20"/>
                <w:szCs w:val="20"/>
              </w:rPr>
              <w:t xml:space="preserve">P410+412  </w:t>
            </w:r>
            <w:r>
              <w:rPr>
                <w:sz w:val="20"/>
                <w:szCs w:val="20"/>
              </w:rPr>
              <w:t xml:space="preserve">Protect from sunlight. Do not expose to temperatures exceeding 50 °C.</w:t>
            </w:r>
          </w:p>
          <w:p>
            <w:pPr>
              <w:spacing w:after="40" w:before="40"/>
              <w:ind w:left="200" w:hanging="200"/>
            </w:pPr>
            <w:r>
              <w:rPr>
                <w:b/>
                <w:bCs/>
                <w:sz w:val="20"/>
                <w:szCs w:val="20"/>
              </w:rPr>
              <w:t xml:space="preserve">P501  </w:t>
            </w:r>
            <w:r>
              <w:rPr>
                <w:sz w:val="20"/>
                <w:szCs w:val="20"/>
              </w:rPr>
              <w:t xml:space="preserve">Dispose of contents/container to an authorised waste contractor in accordance with local regulations.</w:t>
            </w:r>
          </w:p>
          <w:p>
            <w:pPr>
              <w:spacing w:after="40" w:before="120"/>
            </w:pPr>
            <w:r>
              <w:rPr>
                <w:b/>
                <w:bCs/>
                <w:color w:val="2c4f7c"/>
                <w:sz w:val="20"/>
                <w:szCs w:val="20"/>
              </w:rPr>
              <w:t xml:space="preserve">GHS pictograms</w:t>
            </w:r>
          </w:p>
          <w:p>
            <w:pPr>
              <w:spacing w:after="40" w:before="40"/>
              <w:ind w:left="200" w:hanging="200"/>
            </w:pPr>
            <w:r>
              <w:rPr>
                <w:sz w:val="20"/>
                <w:szCs w:val="20"/>
              </w:rPr>
              <w:t xml:space="preserve">•  Flammable</w:t>
            </w:r>
          </w:p>
          <w:p>
            <w:pPr>
              <w:spacing w:after="40" w:before="40"/>
              <w:ind w:left="200" w:hanging="200"/>
            </w:pPr>
            <w:r>
              <w:rPr>
                <w:sz w:val="20"/>
                <w:szCs w:val="20"/>
              </w:rPr>
              <w:t xml:space="preserve">•  Harmful</w:t>
            </w:r>
          </w:p>
          <w:p>
            <w:pPr>
              <w:spacing w:after="40" w:before="40"/>
              <w:ind w:left="200" w:hanging="200"/>
            </w:pPr>
            <w:r>
              <w:rPr>
                <w:sz w:val="20"/>
                <w:szCs w:val="20"/>
              </w:rPr>
              <w:t xml:space="preserve">•  Human Health</w:t>
            </w:r>
          </w:p>
          <w:p>
            <w:pPr>
              <w:spacing w:after="40" w:before="40"/>
              <w:ind w:left="200" w:hanging="200"/>
            </w:pPr>
            <w:r>
              <w:rPr>
                <w:sz w:val="20"/>
                <w:szCs w:val="20"/>
              </w:rPr>
              <w:t xml:space="preserve">•  Dangerous for environment</w:t>
            </w:r>
          </w:p>
        </w:tc>
      </w:tr>
    </w:tbl>
    <w:p>
      <w:pPr>
        <w:keepNext/>
        <w:keepLines/>
        <w:pBdr>
          <w:bottom w:val="single" w:color="6499c7" w:sz="8" w:space="4"/>
        </w:pBdr>
        <w:spacing w:after="120" w:before="360"/>
      </w:pPr>
      <w:r>
        <w:rPr>
          <w:b/>
          <w:bCs/>
          <w:color w:val="1e3a5f"/>
          <w:sz w:val="26"/>
          <w:szCs w:val="26"/>
        </w:rPr>
        <w:t xml:space="preserve">3. Persons at Risk</w:t>
      </w:r>
    </w:p>
    <w:p>
      <w:pPr>
        <w:spacing w:after="40" w:before="40"/>
        <w:ind w:left="200" w:hanging="200"/>
      </w:pPr>
      <w:r>
        <w:rPr>
          <w:b/>
          <w:bCs/>
          <w:color w:val="2c4f7c"/>
          <w:sz w:val="20"/>
          <w:szCs w:val="20"/>
        </w:rPr>
        <w:t xml:space="preserve">•  Line-marking operatives</w:t>
      </w:r>
    </w:p>
    <w:p>
      <w:pPr>
        <w:spacing w:after="40" w:before="40"/>
        <w:ind w:left="200" w:hanging="200"/>
      </w:pPr>
      <w:r>
        <w:rPr>
          <w:b/>
          <w:bCs/>
          <w:color w:val="2c4f7c"/>
          <w:sz w:val="20"/>
          <w:szCs w:val="20"/>
        </w:rPr>
        <w:t xml:space="preserve">•  Site personnel</w:t>
      </w:r>
    </w:p>
    <w:p>
      <w:pPr>
        <w:keepNext/>
        <w:keepLines/>
        <w:pBdr>
          <w:bottom w:val="single" w:color="6499c7" w:sz="8" w:space="4"/>
        </w:pBdr>
        <w:spacing w:after="120" w:before="360"/>
      </w:pPr>
      <w:r>
        <w:rPr>
          <w:b/>
          <w:bCs/>
          <w:color w:val="1e3a5f"/>
          <w:sz w:val="26"/>
          <w:szCs w:val="26"/>
        </w:rPr>
        <w:t xml:space="preserve">4. Routes of Exposure</w:t>
      </w:r>
    </w:p>
    <w:p>
      <w:pPr>
        <w:spacing w:after="40" w:before="40"/>
        <w:ind w:left="200" w:hanging="200"/>
      </w:pPr>
      <w:r>
        <w:rPr>
          <w:sz w:val="20"/>
          <w:szCs w:val="20"/>
        </w:rPr>
        <w:t xml:space="preserve">•  Inhalation: Vapour/mist — may cause dizziness</w:t>
      </w:r>
    </w:p>
    <w:p>
      <w:pPr>
        <w:spacing w:after="40" w:before="40"/>
        <w:ind w:left="200" w:hanging="200"/>
      </w:pPr>
      <w:r>
        <w:rPr>
          <w:sz w:val="20"/>
          <w:szCs w:val="20"/>
        </w:rPr>
        <w:t xml:space="preserve">•  Skin contact: Irritation on prolonged contact</w:t>
      </w:r>
    </w:p>
    <w:p>
      <w:pPr>
        <w:spacing w:after="40" w:before="40"/>
        <w:ind w:left="200" w:hanging="200"/>
      </w:pPr>
      <w:r>
        <w:rPr>
          <w:sz w:val="20"/>
          <w:szCs w:val="20"/>
        </w:rPr>
        <w:t xml:space="preserve">•  Eye contact: Irritation</w:t>
      </w:r>
    </w:p>
    <w:p>
      <w:pPr>
        <w:spacing w:after="40" w:before="40"/>
        <w:ind w:left="200" w:hanging="200"/>
      </w:pPr>
      <w:r>
        <w:rPr>
          <w:sz w:val="20"/>
          <w:szCs w:val="20"/>
        </w:rPr>
        <w:t xml:space="preserve">•  Ingestion: Aspiration hazard</w:t>
      </w:r>
    </w:p>
    <w:p>
      <w:pPr>
        <w:keepNext/>
        <w:keepLines/>
        <w:pBdr>
          <w:bottom w:val="single" w:color="6499c7" w:sz="8" w:space="4"/>
        </w:pBdr>
        <w:spacing w:after="120" w:before="360"/>
      </w:pPr>
      <w:r>
        <w:rPr>
          <w:b/>
          <w:bCs/>
          <w:color w:val="1e3a5f"/>
          <w:sz w:val="26"/>
          <w:szCs w:val="26"/>
        </w:rPr>
        <w:t xml:space="preserve">5. Workplace Exposure Limits</w:t>
      </w:r>
    </w:p>
    <w:p>
      <w:pPr>
        <w:spacing w:after="40" w:before="40"/>
      </w:pPr>
      <w:r>
        <w:rPr>
          <w:i/>
          <w:iCs/>
          <w:color w:val="595959"/>
          <w:sz w:val="20"/>
          <w:szCs w:val="20"/>
        </w:rPr>
        <w:t xml:space="preserve">No UK Workplace Exposure Limits (HSE EH40/2005) assigned to this product or its constituents.</w:t>
      </w:r>
    </w:p>
    <w:p>
      <w:pPr>
        <w:keepNext/>
        <w:keepLines/>
        <w:pBdr>
          <w:bottom w:val="single" w:color="6499c7" w:sz="8" w:space="4"/>
        </w:pBdr>
        <w:spacing w:after="120" w:before="360"/>
      </w:pPr>
      <w:r>
        <w:rPr>
          <w:b/>
          <w:bCs/>
          <w:color w:val="1e3a5f"/>
          <w:sz w:val="26"/>
          <w:szCs w:val="26"/>
        </w:rPr>
        <w:t xml:space="preserve">6. Frequency and Duration of Exposure</w:t>
      </w:r>
    </w:p>
    <w:p>
      <w:pPr>
        <w:spacing w:after="40" w:before="40"/>
      </w:pPr>
      <w:r>
        <w:rPr>
          <w:i/>
          <w:iCs/>
          <w:color w:val="595959"/>
          <w:sz w:val="18"/>
          <w:szCs w:val="18"/>
        </w:rPr>
        <w:t xml:space="preserve">COSHH Regulation 6(2) requires the assessment to consider the amount, the level and the duration of exposure.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Amount used</w:t>
            </w:r>
          </w:p>
        </w:tc>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Times per day</w:t>
            </w:r>
          </w:p>
        </w:tc>
        <w:tc>
          <w:tcPr>
            <w:tcW w:type="dxa" w:w="3212"/>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Duration per use</w:t>
            </w:r>
          </w:p>
        </w:tc>
      </w:tr>
      <w:tr>
        <w:trPr>
          <w:cantSplit/>
        </w:trPr>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Small — millilitres</w:t>
            </w:r>
          </w:p>
        </w:tc>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1–5</w:t>
            </w:r>
          </w:p>
        </w:tc>
        <w:tc>
          <w:tcPr>
            <w:tcW w:type="dxa" w:w="3212"/>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6–30 minutes</w:t>
            </w:r>
          </w:p>
        </w:tc>
      </w:tr>
    </w:tbl>
    <w:p>
      <w:pPr>
        <w:keepNext/>
        <w:keepLines/>
        <w:pBdr>
          <w:bottom w:val="single" w:color="6499c7" w:sz="8" w:space="4"/>
        </w:pBdr>
        <w:spacing w:after="120" w:before="360"/>
      </w:pPr>
      <w:r>
        <w:rPr>
          <w:b/>
          <w:bCs/>
          <w:color w:val="1e3a5f"/>
          <w:sz w:val="26"/>
          <w:szCs w:val="26"/>
        </w:rPr>
        <w:t xml:space="preserve">7. Control Measures — Hierarchy of Controls</w:t>
      </w:r>
    </w:p>
    <w:p>
      <w:pPr>
        <w:keepNext/>
        <w:keepLines/>
        <w:spacing w:after="80" w:before="200"/>
      </w:pPr>
      <w:r>
        <w:rPr>
          <w:b/>
          <w:bCs/>
          <w:color w:val="2c4f7c"/>
          <w:sz w:val="22"/>
          <w:szCs w:val="22"/>
        </w:rPr>
        <w:t xml:space="preserve">Elimination / substitution</w:t>
      </w:r>
    </w:p>
    <w:p>
      <w:pPr>
        <w:spacing w:after="40" w:before="40"/>
      </w:pPr>
      <w:r>
        <w:rPr>
          <w:sz w:val="20"/>
          <w:szCs w:val="20"/>
        </w:rPr>
        <w:t xml:space="preserve">Evaluated where practicable — see Section 12.</w:t>
      </w:r>
    </w:p>
    <w:p>
      <w:pPr>
        <w:keepNext/>
        <w:keepLines/>
        <w:spacing w:after="80" w:before="200"/>
      </w:pPr>
      <w:r>
        <w:rPr>
          <w:b/>
          <w:bCs/>
          <w:color w:val="2c4f7c"/>
          <w:sz w:val="22"/>
          <w:szCs w:val="22"/>
        </w:rPr>
        <w:t xml:space="preserve">Engineering controls</w:t>
      </w:r>
    </w:p>
    <w:p>
      <w:pPr>
        <w:spacing w:after="40" w:before="40"/>
        <w:ind w:left="200" w:hanging="200"/>
      </w:pPr>
      <w:r>
        <w:rPr>
          <w:sz w:val="20"/>
          <w:szCs w:val="20"/>
        </w:rPr>
        <w:t xml:space="preserve">•  Use in open air wherever possible</w:t>
      </w:r>
    </w:p>
    <w:p>
      <w:pPr>
        <w:keepNext/>
        <w:keepLines/>
        <w:spacing w:after="80" w:before="200"/>
      </w:pPr>
      <w:r>
        <w:rPr>
          <w:b/>
          <w:bCs/>
          <w:color w:val="2c4f7c"/>
          <w:sz w:val="22"/>
          <w:szCs w:val="22"/>
        </w:rPr>
        <w:t xml:space="preserve">Administrative controls</w:t>
      </w:r>
    </w:p>
    <w:p>
      <w:pPr>
        <w:spacing w:after="40" w:before="40"/>
        <w:ind w:left="200" w:hanging="200"/>
      </w:pPr>
      <w:r>
        <w:rPr>
          <w:sz w:val="20"/>
          <w:szCs w:val="20"/>
        </w:rPr>
        <w:t xml:space="preserve">•  No smoking or hot work nearby</w:t>
      </w:r>
    </w:p>
    <w:p>
      <w:pPr>
        <w:keepNext/>
        <w:keepLines/>
        <w:spacing w:after="80" w:before="200"/>
      </w:pPr>
      <w:r>
        <w:rPr>
          <w:b/>
          <w:bCs/>
          <w:color w:val="2c4f7c"/>
          <w:sz w:val="22"/>
          <w:szCs w:val="22"/>
        </w:rPr>
        <w:t xml:space="preserve">Personal Protective Equipment (PPE)</w:t>
      </w:r>
    </w:p>
    <w:p>
      <w:pPr>
        <w:spacing w:after="40" w:before="40"/>
        <w:ind w:left="200" w:hanging="200"/>
      </w:pPr>
      <w:r>
        <w:rPr>
          <w:sz w:val="20"/>
          <w:szCs w:val="20"/>
        </w:rPr>
        <w:t xml:space="preserve">•  Nitrile gloves</w:t>
      </w:r>
    </w:p>
    <w:p>
      <w:pPr>
        <w:spacing w:after="40" w:before="40"/>
        <w:ind w:left="200" w:hanging="200"/>
      </w:pPr>
      <w:r>
        <w:rPr>
          <w:sz w:val="20"/>
          <w:szCs w:val="20"/>
        </w:rPr>
        <w:t xml:space="preserve">•  Safety glasses</w:t>
      </w:r>
    </w:p>
    <w:p>
      <w:pPr>
        <w:keepNext/>
        <w:keepLines/>
        <w:pBdr>
          <w:bottom w:val="single" w:color="6499c7" w:sz="8" w:space="4"/>
        </w:pBdr>
        <w:spacing w:after="120" w:before="360"/>
      </w:pPr>
      <w:r>
        <w:rPr>
          <w:b/>
          <w:bCs/>
          <w:color w:val="1e3a5f"/>
          <w:sz w:val="26"/>
          <w:szCs w:val="26"/>
        </w:rPr>
        <w:t xml:space="preserve">8. Storage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Temperature</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Below 50 °C</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Location</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Cool ventilated store</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Avoid</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Heat, sparks, direct sunlight</w:t>
            </w:r>
          </w:p>
        </w:tc>
      </w:tr>
      <w:tr>
        <w:trPr>
          <w:cantSplit/>
        </w:trPr>
        <w:tc>
          <w:tcPr>
            <w:tcW w:type="dxa" w:w="28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Container</w:t>
            </w:r>
          </w:p>
        </w:tc>
        <w:tc>
          <w:tcPr>
            <w:tcW w:type="dxa" w:w="68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Original aerosol can</w:t>
            </w:r>
          </w:p>
        </w:tc>
      </w:tr>
    </w:tbl>
    <w:p>
      <w:pPr>
        <w:keepNext/>
        <w:keepLines/>
        <w:pBdr>
          <w:bottom w:val="single" w:color="6499c7" w:sz="8" w:space="4"/>
        </w:pBdr>
        <w:spacing w:after="120" w:before="360"/>
      </w:pPr>
      <w:r>
        <w:rPr>
          <w:b/>
          <w:bCs/>
          <w:color w:val="1e3a5f"/>
          <w:sz w:val="26"/>
          <w:szCs w:val="26"/>
        </w:rPr>
        <w:t xml:space="preserve">9. Emergency Procedures</w:t>
      </w:r>
    </w:p>
    <w:p>
      <w:pPr>
        <w:keepNext/>
        <w:keepLines/>
        <w:spacing w:after="80" w:before="200"/>
      </w:pPr>
      <w:r>
        <w:rPr>
          <w:b/>
          <w:bCs/>
          <w:color w:val="2c4f7c"/>
          <w:sz w:val="22"/>
          <w:szCs w:val="22"/>
        </w:rPr>
        <w:t xml:space="preserve">First aid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Route</w:t>
            </w:r>
          </w:p>
        </w:tc>
        <w:tc>
          <w:tcPr>
            <w:tcW w:type="dxa" w:w="7438"/>
            <w:tcBorders>
              <w:top w:val="single" w:color="BFBFBF" w:sz="4"/>
              <w:left w:val="single" w:color="BFBFBF" w:sz="4"/>
              <w:bottom w:val="single" w:color="BFBFBF" w:sz="4"/>
              <w:right w:val="single" w:color="BFBFBF" w:sz="4"/>
            </w:tcBorders>
            <w:shd w:fill="1e3a5f" w:color="auto" w:val="clear"/>
            <w:tcMar>
              <w:top w:type="dxa" w:w="80"/>
              <w:left w:type="dxa" w:w="120"/>
              <w:bottom w:type="dxa" w:w="80"/>
              <w:right w:type="dxa" w:w="120"/>
            </w:tcMar>
            <w:vAlign w:val="top"/>
          </w:tcPr>
          <w:p>
            <w:r>
              <w:rPr>
                <w:b/>
                <w:bCs/>
                <w:color w:val="FFFFFF"/>
                <w:sz w:val="20"/>
                <w:szCs w:val="20"/>
              </w:rPr>
              <w:t xml:space="preserve">Action</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Eyes</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Rinse with water for 15 minutes. Seek medical advice.</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Skin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Wash with soap and water.</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Inhalation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Move to fresh air.</w:t>
            </w:r>
          </w:p>
        </w:tc>
      </w:tr>
      <w:tr>
        <w:trPr>
          <w:cantSplit/>
        </w:trPr>
        <w:tc>
          <w:tcPr>
            <w:tcW w:type="dxa" w:w="22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vAlign w:val="top"/>
          </w:tcPr>
          <w:p>
            <w:r>
              <w:rPr>
                <w:b/>
                <w:bCs/>
                <w:color w:val="0f1f33"/>
                <w:sz w:val="20"/>
                <w:szCs w:val="20"/>
              </w:rPr>
              <w:t xml:space="preserve">Ingestion</w:t>
            </w:r>
          </w:p>
        </w:tc>
        <w:tc>
          <w:tcPr>
            <w:tcW w:type="dxa" w:w="7438"/>
            <w:tcBorders>
              <w:top w:val="single" w:color="BFBFBF" w:sz="4"/>
              <w:left w:val="single" w:color="BFBFBF" w:sz="4"/>
              <w:bottom w:val="single" w:color="BFBFBF" w:sz="4"/>
              <w:right w:val="single" w:color="BFBFBF" w:sz="4"/>
            </w:tcBorders>
            <w:tcMar>
              <w:top w:type="dxa" w:w="80"/>
              <w:left w:type="dxa" w:w="120"/>
              <w:bottom w:type="dxa" w:w="80"/>
              <w:right w:type="dxa" w:w="120"/>
            </w:tcMar>
            <w:vAlign w:val="top"/>
          </w:tcPr>
          <w:p>
            <w:r>
              <w:rPr>
                <w:sz w:val="20"/>
                <w:szCs w:val="20"/>
              </w:rPr>
              <w:t xml:space="preserve">Do not induce vomiting. Seek immediate medical attention.</w:t>
            </w:r>
          </w:p>
        </w:tc>
      </w:tr>
    </w:tbl>
    <w:p>
      <w:pPr>
        <w:keepNext/>
        <w:keepLines/>
        <w:spacing w:after="80" w:before="200"/>
      </w:pPr>
      <w:r>
        <w:rPr>
          <w:b/>
          <w:bCs/>
          <w:color w:val="2c4f7c"/>
          <w:sz w:val="22"/>
          <w:szCs w:val="22"/>
        </w:rPr>
        <w:t xml:space="preserve">Spillage</w:t>
      </w:r>
    </w:p>
    <w:p>
      <w:pPr>
        <w:spacing w:after="40" w:before="40"/>
      </w:pPr>
      <w:r>
        <w:rPr>
          <w:sz w:val="20"/>
          <w:szCs w:val="20"/>
        </w:rPr>
        <w:t xml:space="preserve">Eliminate ignition sources. Absorb with inert material. Dispose as hazardous waste.</w:t>
      </w:r>
    </w:p>
    <w:p>
      <w:pPr>
        <w:keepNext/>
        <w:keepLines/>
        <w:spacing w:after="80" w:before="200"/>
      </w:pPr>
      <w:r>
        <w:rPr>
          <w:b/>
          <w:bCs/>
          <w:color w:val="2c4f7c"/>
          <w:sz w:val="22"/>
          <w:szCs w:val="22"/>
        </w:rPr>
        <w:t xml:space="preserve">Fire</w:t>
      </w:r>
    </w:p>
    <w:p>
      <w:pPr>
        <w:spacing w:after="40" w:before="40"/>
      </w:pPr>
      <w:r>
        <w:rPr>
          <w:sz w:val="20"/>
          <w:szCs w:val="20"/>
        </w:rPr>
        <w:t xml:space="preserve">Flammable aerosol. Use foam, CO₂ or dry powder.</w:t>
      </w:r>
    </w:p>
    <w:p>
      <w:pPr>
        <w:keepNext/>
        <w:keepLines/>
        <w:spacing w:after="80" w:before="200"/>
      </w:pPr>
      <w:r>
        <w:rPr>
          <w:b/>
          <w:bCs/>
          <w:color w:val="2c4f7c"/>
          <w:sz w:val="22"/>
          <w:szCs w:val="22"/>
        </w:rPr>
        <w:t xml:space="preserve">Emergency contacts</w:t>
      </w:r>
    </w:p>
    <w:p>
      <w:pPr>
        <w:spacing w:after="40" w:before="40"/>
        <w:ind w:left="200" w:hanging="200"/>
      </w:pPr>
      <w:r>
        <w:rPr>
          <w:sz w:val="20"/>
          <w:szCs w:val="20"/>
        </w:rPr>
        <w:t xml:space="preserve">•  Emergency services: 999</w:t>
      </w:r>
    </w:p>
    <w:p>
      <w:pPr>
        <w:spacing w:after="40" w:before="40"/>
        <w:ind w:left="200" w:hanging="200"/>
      </w:pPr>
      <w:r>
        <w:rPr>
          <w:sz w:val="20"/>
          <w:szCs w:val="20"/>
        </w:rPr>
        <w:t xml:space="preserve">•  NHS non-emergency: 111</w:t>
      </w:r>
    </w:p>
    <w:p>
      <w:pPr>
        <w:spacing w:after="40" w:before="40"/>
        <w:ind w:left="200" w:hanging="200"/>
      </w:pPr>
      <w:r>
        <w:rPr>
          <w:sz w:val="20"/>
          <w:szCs w:val="20"/>
        </w:rPr>
        <w:t xml:space="preserve">•  AMWS supervisor: Jason May</w:t>
      </w:r>
    </w:p>
    <w:p>
      <w:pPr>
        <w:spacing w:after="40" w:before="40"/>
        <w:ind w:left="200" w:hanging="200"/>
      </w:pPr>
      <w:r>
        <w:rPr>
          <w:sz w:val="20"/>
          <w:szCs w:val="20"/>
        </w:rPr>
        <w:t xml:space="preserve">•  HSQE support: Sean Ashton (Onyx Operations)</w:t>
      </w:r>
    </w:p>
    <w:p>
      <w:pPr>
        <w:keepNext/>
        <w:keepLines/>
        <w:pBdr>
          <w:bottom w:val="single" w:color="6499c7" w:sz="8" w:space="4"/>
        </w:pBdr>
        <w:spacing w:after="120" w:before="360"/>
      </w:pPr>
      <w:r>
        <w:rPr>
          <w:b/>
          <w:bCs/>
          <w:color w:val="1e3a5f"/>
          <w:sz w:val="26"/>
          <w:szCs w:val="26"/>
        </w:rPr>
        <w:t xml:space="preserve">10. Waste Disposal</w:t>
      </w:r>
    </w:p>
    <w:p>
      <w:pPr>
        <w:spacing w:after="40" w:before="40"/>
      </w:pPr>
      <w:r>
        <w:rPr>
          <w:sz w:val="20"/>
          <w:szCs w:val="20"/>
        </w:rPr>
        <w:t xml:space="preserve">Empty aerosols are hazardous (EWC 16 05 04*).</w:t>
      </w:r>
    </w:p>
    <w:p>
      <w:pPr>
        <w:keepNext/>
        <w:keepLines/>
        <w:pBdr>
          <w:bottom w:val="single" w:color="6499c7" w:sz="8" w:space="4"/>
        </w:pBdr>
        <w:spacing w:after="120" w:before="360"/>
      </w:pPr>
      <w:r>
        <w:rPr>
          <w:b/>
          <w:bCs/>
          <w:color w:val="1e3a5f"/>
          <w:sz w:val="26"/>
          <w:szCs w:val="26"/>
        </w:rPr>
        <w:t xml:space="preserve">11. Risk Rating</w:t>
      </w:r>
    </w:p>
    <w:p>
      <w:pPr>
        <w:spacing w:after="40" w:before="40"/>
      </w:pPr>
      <w:r>
        <w:rPr>
          <w:i/>
          <w:iCs/>
          <w:color w:val="595959"/>
          <w:sz w:val="18"/>
          <w:szCs w:val="18"/>
        </w:rPr>
        <w:t xml:space="preserve">Risk = Severity × Likelihood (S × L = R). See POL_HSQE_21 Risk Assessment policy for the full scoring matrix.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FBFBF" w:sz="4"/>
              <w:left w:val="single" w:color="BFBFBF" w:sz="4"/>
              <w:bottom w:val="single" w:color="BFBFBF" w:sz="4"/>
              <w:right w:val="single" w:color="BFBFBF" w:sz="4"/>
            </w:tcBorders>
            <w:shd w:fill="FFC000" w:color="auto" w:val="clear"/>
            <w:tcMar>
              <w:top w:type="dxa" w:w="120"/>
              <w:left w:type="dxa" w:w="160"/>
              <w:bottom w:type="dxa" w:w="120"/>
              <w:right w:type="dxa" w:w="160"/>
            </w:tcMar>
            <w:vAlign w:val="top"/>
          </w:tcPr>
          <w:p>
            <w:r>
              <w:rPr>
                <w:b/>
                <w:bCs/>
                <w:color w:val="0f1f33"/>
                <w:sz w:val="20"/>
                <w:szCs w:val="20"/>
              </w:rPr>
              <w:t xml:space="preserve">Before controls  —  Moderate</w:t>
            </w:r>
          </w:p>
        </w:tc>
        <w:tc>
          <w:tcPr>
            <w:tcW w:type="dxa" w:w="4819"/>
            <w:tcBorders>
              <w:top w:val="single" w:color="BFBFBF" w:sz="4"/>
              <w:left w:val="single" w:color="BFBFBF" w:sz="4"/>
              <w:bottom w:val="single" w:color="BFBFBF" w:sz="4"/>
              <w:right w:val="single" w:color="BFBFBF" w:sz="4"/>
            </w:tcBorders>
            <w:shd w:fill="92D050" w:color="auto" w:val="clear"/>
            <w:tcMar>
              <w:top w:type="dxa" w:w="120"/>
              <w:left w:type="dxa" w:w="160"/>
              <w:bottom w:type="dxa" w:w="120"/>
              <w:right w:type="dxa" w:w="160"/>
            </w:tcMar>
            <w:vAlign w:val="top"/>
          </w:tcPr>
          <w:p>
            <w:r>
              <w:rPr>
                <w:b/>
                <w:bCs/>
                <w:color w:val="0f1f33"/>
                <w:sz w:val="20"/>
                <w:szCs w:val="20"/>
              </w:rPr>
              <w:t xml:space="preserve">With controls  —  Low (residual)</w:t>
            </w:r>
          </w:p>
        </w:tc>
      </w:tr>
    </w:tbl>
    <w:p>
      <w:pPr>
        <w:keepNext/>
        <w:keepLines/>
        <w:pBdr>
          <w:bottom w:val="single" w:color="6499c7" w:sz="8" w:space="4"/>
        </w:pBdr>
        <w:spacing w:after="120" w:before="360"/>
      </w:pPr>
      <w:r>
        <w:rPr>
          <w:b/>
          <w:bCs/>
          <w:color w:val="1e3a5f"/>
          <w:sz w:val="26"/>
          <w:szCs w:val="26"/>
        </w:rPr>
        <w:t xml:space="preserve">12. Training Requirements</w:t>
      </w:r>
    </w:p>
    <w:p>
      <w:pPr>
        <w:spacing w:after="40" w:before="40"/>
        <w:ind w:left="200" w:hanging="200"/>
      </w:pPr>
      <w:r>
        <w:rPr>
          <w:sz w:val="20"/>
          <w:szCs w:val="20"/>
        </w:rPr>
        <w:t xml:space="preserve">•  Aerosol handling</w:t>
      </w:r>
    </w:p>
    <w:p>
      <w:pPr>
        <w:keepNext/>
        <w:keepLines/>
        <w:pBdr>
          <w:bottom w:val="single" w:color="6499c7" w:sz="8" w:space="4"/>
        </w:pBdr>
        <w:spacing w:after="120" w:before="360"/>
      </w:pPr>
      <w:r>
        <w:rPr>
          <w:b/>
          <w:bCs/>
          <w:color w:val="1e3a5f"/>
          <w:sz w:val="26"/>
          <w:szCs w:val="26"/>
        </w:rPr>
        <w:t xml:space="preserve">13. Monitoring &amp; Review</w:t>
      </w:r>
    </w:p>
    <w:p>
      <w:pPr>
        <w:spacing w:after="40" w:before="40"/>
        <w:ind w:left="200" w:hanging="200"/>
      </w:pPr>
      <w:r>
        <w:rPr>
          <w:sz w:val="20"/>
          <w:szCs w:val="20"/>
        </w:rPr>
        <w:t xml:space="preserve">•  Weekly van-pack inspection</w:t>
      </w:r>
    </w:p>
    <w:p>
      <w:pPr>
        <w:spacing w:after="40" w:before="40"/>
        <w:ind w:left="200" w:hanging="200"/>
      </w:pPr>
      <w:r>
        <w:rPr>
          <w:sz w:val="20"/>
          <w:szCs w:val="20"/>
        </w:rPr>
        <w:t xml:space="preserve">•  Annual COSHH review</w:t>
      </w:r>
    </w:p>
    <w:p>
      <w:pPr>
        <w:keepNext/>
        <w:keepLines/>
        <w:pBdr>
          <w:bottom w:val="single" w:color="6499c7" w:sz="8" w:space="4"/>
        </w:pBdr>
        <w:spacing w:after="120" w:before="360"/>
      </w:pPr>
      <w:r>
        <w:rPr>
          <w:b/>
          <w:bCs/>
          <w:color w:val="1e3a5f"/>
          <w:sz w:val="26"/>
          <w:szCs w:val="26"/>
        </w:rPr>
        <w:t xml:space="preserve">14. References</w:t>
      </w:r>
    </w:p>
    <w:p>
      <w:pPr>
        <w:spacing w:after="40" w:before="40"/>
        <w:ind w:left="200" w:hanging="200"/>
      </w:pPr>
      <w:r>
        <w:rPr>
          <w:sz w:val="20"/>
          <w:szCs w:val="20"/>
        </w:rPr>
        <w:t xml:space="preserve">•  POL_HSQE_08 — COSHH Policy</w:t>
      </w:r>
    </w:p>
    <w:p>
      <w:pPr>
        <w:spacing w:after="40" w:before="40"/>
        <w:ind w:left="200" w:hanging="200"/>
      </w:pPr>
      <w:r>
        <w:rPr>
          <w:sz w:val="20"/>
          <w:szCs w:val="20"/>
        </w:rPr>
        <w:t xml:space="preserve">•  POL_HSQE_19 — Personal Protective Equipment (PPE) Policy</w:t>
      </w:r>
    </w:p>
    <w:p>
      <w:pPr>
        <w:spacing w:after="40" w:before="40"/>
        <w:ind w:left="200" w:hanging="200"/>
      </w:pPr>
      <w:r>
        <w:rPr>
          <w:sz w:val="20"/>
          <w:szCs w:val="20"/>
        </w:rPr>
        <w:t xml:space="preserve">•  SOP 8.5 — Hazardous Substances (COSHH)</w:t>
      </w:r>
    </w:p>
    <w:p>
      <w:pPr>
        <w:spacing w:after="40" w:before="40"/>
        <w:ind w:left="200" w:hanging="200"/>
      </w:pPr>
      <w:r>
        <w:rPr>
          <w:sz w:val="20"/>
          <w:szCs w:val="20"/>
        </w:rPr>
        <w:t xml:space="preserve">•  APP_09 — COSHH Assessments Log</w:t>
      </w:r>
    </w:p>
    <w:p>
      <w:pPr>
        <w:spacing w:after="40" w:before="40"/>
        <w:ind w:left="200" w:hanging="200"/>
      </w:pPr>
      <w:r>
        <w:rPr>
          <w:sz w:val="20"/>
          <w:szCs w:val="20"/>
        </w:rPr>
        <w:t xml:space="preserve">•  HSE COSHH Regulations 2002 (SI 2002/2677, as amended)</w:t>
      </w:r>
    </w:p>
    <w:p>
      <w:pPr>
        <w:spacing w:after="40" w:before="40"/>
        <w:ind w:left="200" w:hanging="200"/>
      </w:pPr>
      <w:r>
        <w:rPr>
          <w:sz w:val="20"/>
          <w:szCs w:val="20"/>
        </w:rPr>
        <w:t xml:space="preserve">•  HSE EH40/2005 Workplace Exposure Limits</w:t>
      </w:r>
    </w:p>
    <w:p>
      <w:pPr>
        <w:spacing w:after="40" w:before="40"/>
        <w:ind w:left="200" w:hanging="200"/>
      </w:pPr>
      <w:r>
        <w:rPr>
          <w:sz w:val="20"/>
          <w:szCs w:val="20"/>
        </w:rPr>
        <w:t xml:space="preserve">•  CLP Regulation (EC) No 1272/2008 (as retained in UK law)</w:t>
      </w:r>
    </w:p>
    <w:p>
      <w:pPr>
        <w:spacing w:after="0" w:before="480"/>
        <w:jc w:val="center"/>
      </w:pPr>
      <w:r>
        <w:rPr>
          <w:i/>
          <w:iCs/>
          <w:color w:val="595959"/>
          <w:sz w:val="18"/>
          <w:szCs w:val="18"/>
        </w:rPr>
        <w:t xml:space="preserve">This assessment must be reviewed annually or sooner if circumstances change. For the full management-system context (SOPs, Appendices, policies) see the AMWS IMS portal.</w:t>
      </w:r>
    </w:p>
    <w:sectPr>
      <w:headerReference w:type="default" r:id="rId7"/>
      <w:footerReference w:type="default" r:id="rId8"/>
      <w:pgSz w:w="11906" w:h="16838" w:orient="portrait"/>
      <w:pgMar w:top="1700" w:right="1134" w:bottom="1200"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e3a5f" w:sz="8" w:space="1"/>
      </w:pBdr>
      <w:spacing w:after="60" w:before="0"/>
    </w:pPr>
    <w:r>
      <w:t xml:space="preserve"/>
    </w:r>
  </w:p>
  <w:p>
    <w:pPr>
      <w:tabs>
        <w:tab w:val="right" w:pos="9638"/>
      </w:tabs>
    </w:pPr>
    <w:r>
      <w:rPr>
        <w:color w:val="595959"/>
        <w:sz w:val="16"/>
        <w:szCs w:val="16"/>
      </w:rPr>
      <w:t xml:space="preserve">COSHH_32 — EVO TOOL Temporary Linemarking Paint — Blue · Issue 1 · 5 October 2026</w:t>
    </w:r>
    <w:r>
      <w:rPr>
        <w:sz w:val="16"/>
        <w:szCs w:val="16"/>
      </w:rPr>
      <w:t xml:space="preserve">	</w:t>
    </w:r>
    <w:r>
      <w:rPr>
        <w:color w:val="595959"/>
        <w:sz w:val="16"/>
        <w:szCs w:val="16"/>
      </w:rPr>
      <w:t xml:space="preserve">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pPr>
    <w:r>
      <w:drawing>
        <wp:inline distT="0" distB="0" distL="0" distR="0">
          <wp:extent cx="1276350" cy="485775"/>
          <wp:effectExtent t="0" r="0" b="0" l="0"/>
          <wp:docPr id="1" name="amws-logo" descr="A M Water Services Ltd" title="AM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76350" cy="485775"/>
                  </a:xfrm>
                  <a:prstGeom prst="rect">
                    <a:avLst/>
                  </a:prstGeom>
                </pic:spPr>
              </pic:pic>
            </a:graphicData>
          </a:graphic>
        </wp:inline>
      </w:drawing>
    </w:r>
  </w:p>
  <w:p>
    <w:pPr>
      <w:pBdr>
        <w:bottom w:val="single" w:color="1e3a5f" w:sz="12" w:space="1"/>
      </w:pBdr>
      <w:spacing w:after="0" w:before="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b6b118bf66158c8730411d5e7b60704c4e033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COSHH_32 — EVO TOOL Temporary Linemarking Paint — Blue</dc:title>
  <dc:creator>Sean Ashton (Onyx Operations)</dc:creator>
  <dc:description>A M Water Services Ltd — Van Pack COSHH Assessment</dc:description>
  <cp:lastModifiedBy>Un-named</cp:lastModifiedBy>
  <cp:revision>1</cp:revision>
  <dcterms:created xsi:type="dcterms:W3CDTF">2026-05-28T10:28:04.705Z</dcterms:created>
  <dcterms:modified xsi:type="dcterms:W3CDTF">2026-05-28T10:28:04.705Z</dcterms:modified>
</cp:coreProperties>
</file>

<file path=docProps/custom.xml><?xml version="1.0" encoding="utf-8"?>
<Properties xmlns="http://schemas.openxmlformats.org/officeDocument/2006/custom-properties" xmlns:vt="http://schemas.openxmlformats.org/officeDocument/2006/docPropsVTypes"/>
</file>